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tbl>
      <w:tblPr>
        <w:tblW w:w="9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70" w:type="dxa"/>
        </w:tblCellMar>
        <w:tblLook w:val="0000" w:firstRow="0" w:lastRow="0" w:firstColumn="0" w:lastColumn="0" w:noHBand="0" w:noVBand="0"/>
      </w:tblPr>
      <w:tblGrid>
        <w:gridCol w:w="9190"/>
      </w:tblGrid>
      <w:tr>
        <w:trPr>
          <w:trHeight w:val="2665" w:hRule="atLeast"/>
        </w:trPr>
        <w:tc>
          <w:tcPr>
            <w:tcW w:type="dxa" w:w="9190"/>
            <w:tcBorders/>
            <w:vAlign w:val="bottom"/>
          </w:tcPr>
          <w:p>
            <w:pPr>
              <w:pStyle w:val="Norglement"/>
              <w:spacing/>
              <w:rPr>
                <w:b w:val="0"/>
                <w:bCs w:val="0"/>
                <w:color w:val="000000"/>
                <w:sz w:val="30"/>
                <w:szCs w:val="30"/>
              </w:rPr>
            </w:pPr>
            <w:bookmarkStart w:id="2" w:name="_GoBack"/>
            <w:bookmarkEnd w:id="2"/>
            <w:r>
              <w:rPr>
                <w:color w:val="000000"/>
                <w:sz w:val="30"/>
                <w:szCs w:val="30"/>
              </w:rPr>
              <w:t xml:space="preserve">R</w:t>
            </w:r>
            <w:r>
              <w:rPr>
                <w:color w:val="000000"/>
                <w:sz w:val="30"/>
                <w:szCs w:val="30"/>
              </w:rPr>
              <w:t xml:space="preserve">.</w:t>
            </w:r>
            <w:r>
              <w:rPr>
                <w:color w:val="000000"/>
                <w:sz w:val="30"/>
                <w:szCs w:val="30"/>
              </w:rPr>
              <w:t xml:space="preserve">16.8.5</w:t>
            </w:r>
          </w:p>
          <w:p>
            <w:pPr>
              <w:pStyle w:val="Titrerglement"/>
              <w:spacing/>
              <w:rPr>
                <w:color w:val="000000"/>
              </w:rPr>
            </w:pPr>
            <w:r>
              <w:rPr>
                <w:color w:val="000000"/>
                <w:lang w:val="fr-CH"/>
              </w:rPr>
              <w:t xml:space="preserve">RÈGLEMENT CONCERNANT LA FORMATION COMPLÉMENTAIRE POUR L’OBTENTION D’UN CERTIFICAT D’ÉTUDES AVANCÉES (CAS) POUR ANIMATEUR DE GROUPE D’ANALYSE DES PRATIQUES PROFESSIONNELLES (AGAPP)</w:t>
            </w:r>
          </w:p>
        </w:tc>
      </w:tr>
    </w:tbl>
    <w:p>
      <w:pPr>
        <w:pStyle w:val="En-tte"/>
        <w:tabs>
          <w:tab w:val="clear" w:pos="4153"/>
          <w:tab w:val="clear" w:pos="8306"/>
        </w:tabs>
        <w:spacing/>
        <w:rPr>
          <w:sz w:val="16"/>
          <w:szCs w:val="16"/>
        </w:rPr>
        <w:sectPr>
          <w:headerReference w:type="first" r:id="rId1"/>
          <w:footerReference w:type="first" r:id="rId2"/>
          <w:headerReference w:type="even" r:id="rId3"/>
          <w:footerReference w:type="even" r:id="rId4"/>
          <w:headerReference w:type="default" r:id="rId5"/>
          <w:footerReference w:type="default" r:id="rId6"/>
          <w:type w:val="continuous"/>
          <w:pgSz w:w="11906" w:h="16838"/>
          <w:pgMar w:top="1701" w:right="1418" w:bottom="1418" w:left="1701" w:header="720" w:footer="709" w:gutter="0"/>
          <w:pgBorders/>
          <w:pgNumType w:fmt="decimal"/>
          <w:cols w:num="1" w:equalWidth="1" w:space="708"/>
          <w:docGrid w:linePitch="360"/>
        </w:sectPr>
      </w:pPr>
    </w:p>
    <w:tbl>
      <w:tblPr>
        <w:tblW w:w="9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70" w:type="dxa"/>
        </w:tblCellMar>
        <w:tblLook w:val="0000" w:firstRow="0" w:lastRow="0" w:firstColumn="0" w:lastColumn="0" w:noHBand="0" w:noVBand="0"/>
      </w:tblPr>
      <w:tblGrid>
        <w:gridCol w:w="2950"/>
        <w:gridCol w:w="6240"/>
      </w:tblGrid>
      <w:tr>
        <w:trPr>
          <w:trHeight w:val="567" w:hRule="atLeast"/>
        </w:trPr>
        <w:tc>
          <w:tcPr>
            <w:tcW w:type="dxa" w:w="9190"/>
            <w:gridSpan w:val="2"/>
            <w:tcBorders/>
          </w:tcPr>
          <w:p>
            <w:pPr>
              <w:pStyle w:val="En-tte"/>
              <w:tabs>
                <w:tab w:val="clear" w:pos="4153"/>
                <w:tab w:val="clear" w:pos="8306"/>
              </w:tabs>
              <w:spacing w:before="360"/>
              <w:rPr/>
            </w:pPr>
            <w:r>
              <w:rPr/>
              <w:t xml:space="preserve">Le </w:t>
            </w:r>
            <w:r>
              <w:rPr/>
              <w:t xml:space="preserve">Rectorat</w:t>
            </w:r>
            <w:r>
              <w:rPr/>
              <w:t xml:space="preserve">,</w:t>
            </w:r>
          </w:p>
          <w:p>
            <w:pPr>
              <w:spacing/>
              <w:rPr/>
            </w:pPr>
          </w:p>
          <w:p>
            <w:pPr>
              <w:spacing/>
              <w:rPr/>
            </w:pPr>
            <w:r>
              <w:rPr/>
              <w:t xml:space="preserve">- </w:t>
            </w:r>
            <w:r>
              <w:rPr/>
              <w:t xml:space="preserve">vu le </w:t>
            </w:r>
            <w:r>
              <w:rPr/>
              <w:t xml:space="preserve">règlement des études</w:t>
            </w:r>
            <w:r>
              <w:rPr>
                <w:rStyle w:val="Appelnotedebasdep"/>
              </w:rPr>
              <w:footnoteReference w:customMarkFollows="0" w:id="1"/>
            </w:r>
            <w:r>
              <w:rPr/>
              <w:t xml:space="preserve">,</w:t>
            </w:r>
          </w:p>
          <w:p>
            <w:pPr>
              <w:spacing/>
              <w:rPr/>
            </w:pPr>
            <w:r>
              <w:rPr/>
              <w:t xml:space="preserve">- </w:t>
            </w:r>
            <w:r>
              <w:rPr/>
              <w:t xml:space="preserve">vu le règlement général concernant les formations complémentaires (ci-après le règlement général)</w:t>
            </w:r>
            <w:r>
              <w:rPr>
                <w:rStyle w:val="Appelnotedebasdep"/>
              </w:rPr>
              <w:footnoteReference w:customMarkFollows="0" w:id="2"/>
            </w:r>
            <w:r>
              <w:rPr/>
              <w:t xml:space="preserve">,</w:t>
            </w:r>
          </w:p>
          <w:p>
            <w:pPr>
              <w:spacing/>
              <w:rPr/>
            </w:pPr>
          </w:p>
          <w:p>
            <w:pPr>
              <w:spacing/>
              <w:rPr/>
            </w:pPr>
            <w:r>
              <w:rPr>
                <w:rFonts w:cs="Arial"/>
                <w:color w:val="231F20"/>
                <w:szCs w:val="20"/>
              </w:rPr>
              <w:t xml:space="preserve">arrête</w:t>
            </w:r>
            <w:r>
              <w:rPr>
                <w:rFonts w:ascii="HelveticaNeue" w:hAnsi="HelveticaNeue"/>
                <w:color w:val="231F20"/>
                <w:szCs w:val="20"/>
              </w:rPr>
              <w:t xml:space="preserve"> :</w:t>
            </w:r>
          </w:p>
        </w:tc>
      </w:tr>
      <w:tr>
        <w:trPr>
          <w:cantSplit/>
        </w:trPr>
        <w:tc>
          <w:tcPr>
            <w:tcW w:type="dxa" w:w="9190"/>
            <w:gridSpan w:val="2"/>
            <w:tcBorders/>
          </w:tcPr>
          <w:p>
            <w:pPr>
              <w:pStyle w:val="Titrechapitre"/>
              <w:spacing/>
              <w:rPr/>
            </w:pPr>
            <w:r>
              <w:rPr/>
              <w:t xml:space="preserve">Dispositions générales</w:t>
            </w:r>
          </w:p>
        </w:tc>
      </w:tr>
      <w:tr>
        <w:trPr/>
        <w:tc>
          <w:tcPr>
            <w:tcW w:type="dxa" w:w="2950"/>
            <w:tcBorders/>
            <w:tcMar>
              <w:top w:w="170" w:type="dxa"/>
              <w:left w:w="0" w:type="dxa"/>
              <w:bottom w:w="170" w:type="dxa"/>
              <w:right w:w="70" w:type="dxa"/>
            </w:tcMar>
          </w:tcPr>
          <w:p>
            <w:pPr>
              <w:pStyle w:val="Titrearticle"/>
              <w:spacing w:before="0" w:after="0"/>
              <w:rPr/>
            </w:pPr>
            <w:r>
              <w:rPr/>
              <w:t xml:space="preserve">Article premier</w:t>
            </w:r>
          </w:p>
          <w:p>
            <w:pPr>
              <w:pStyle w:val="Titredescriptif"/>
              <w:spacing/>
              <w:rPr/>
            </w:pPr>
            <w:r>
              <w:rPr/>
              <w:t xml:space="preserve">But</w:t>
            </w:r>
          </w:p>
        </w:tc>
        <w:tc>
          <w:tcPr>
            <w:tcW w:type="dxa" w:w="6240"/>
            <w:tcBorders/>
            <w:tcMar>
              <w:top w:w="170" w:type="dxa"/>
              <w:left w:w="0" w:type="dxa"/>
              <w:bottom w:w="170" w:type="dxa"/>
              <w:right w:w="70" w:type="dxa"/>
            </w:tcMar>
          </w:tcPr>
          <w:p>
            <w:pPr>
              <w:spacing/>
              <w:rPr/>
            </w:pPr>
            <w:r>
              <w:rPr/>
              <w:t xml:space="preserve">Le présent règlement régit la formation complémentaire visant l'obtention d'un certificat d’études avancées (CAS) pour</w:t>
            </w:r>
            <w:r>
              <w:rPr/>
              <w:t xml:space="preserve"> la formation d’animateur de groupe en analyse des pratiques professionnelles.</w:t>
            </w:r>
          </w:p>
        </w:tc>
      </w:tr>
      <w:tr>
        <w:trPr/>
        <w:tc>
          <w:tcPr>
            <w:tcW w:type="dxa" w:w="2950"/>
            <w:tcBorders/>
            <w:tcMar>
              <w:top w:w="170" w:type="dxa"/>
              <w:left w:w="0" w:type="dxa"/>
              <w:bottom w:w="170" w:type="dxa"/>
              <w:right w:w="70" w:type="dxa"/>
            </w:tcMar>
          </w:tcPr>
          <w:p>
            <w:pPr>
              <w:pStyle w:val="Titrearticle"/>
              <w:spacing w:before="0" w:after="0"/>
              <w:rPr/>
            </w:pPr>
            <w:r>
              <w:rPr/>
              <w:t xml:space="preserve">Art. 2</w:t>
            </w:r>
          </w:p>
          <w:p>
            <w:pPr>
              <w:pStyle w:val="Titredescriptif"/>
              <w:spacing/>
              <w:rPr/>
            </w:pPr>
            <w:r>
              <w:rPr/>
              <w:t xml:space="preserve">Champ d’application</w:t>
            </w:r>
          </w:p>
        </w:tc>
        <w:tc>
          <w:tcPr>
            <w:tcW w:type="dxa" w:w="6240"/>
            <w:tcBorders/>
          </w:tcPr>
          <w:p>
            <w:pPr>
              <w:spacing/>
              <w:rPr/>
            </w:pPr>
            <w:r>
              <w:rPr/>
              <w:t xml:space="preserve">Le règlement fixe</w:t>
            </w:r>
          </w:p>
          <w:p>
            <w:pPr>
              <w:pStyle w:val="TitreabRglement"/>
              <w:spacing/>
              <w:rPr/>
            </w:pPr>
            <w:r>
              <w:rPr/>
              <w:t xml:space="preserve">le cadre de la formation;</w:t>
            </w:r>
          </w:p>
          <w:p>
            <w:pPr>
              <w:pStyle w:val="TitreabRglement"/>
              <w:spacing/>
              <w:rPr/>
            </w:pPr>
            <w:r>
              <w:rPr/>
              <w:t xml:space="preserve">la composition et les tâches du Rectorat / de la commission;</w:t>
            </w:r>
          </w:p>
          <w:p>
            <w:pPr>
              <w:pStyle w:val="TitreabRglement"/>
              <w:spacing/>
              <w:rPr/>
            </w:pPr>
            <w:r>
              <w:rPr/>
              <w:t xml:space="preserve">les critères et la procédure d’admission des candidats et candidates;</w:t>
            </w:r>
          </w:p>
          <w:p>
            <w:pPr>
              <w:pStyle w:val="TitreabRglement"/>
              <w:spacing/>
              <w:rPr/>
            </w:pPr>
            <w:r>
              <w:rPr/>
              <w:t xml:space="preserve">la durée et l'organisation de la formation;</w:t>
            </w:r>
          </w:p>
          <w:p>
            <w:pPr>
              <w:pStyle w:val="TitreabRglement"/>
              <w:spacing/>
              <w:rPr>
                <w:strike/>
              </w:rPr>
            </w:pPr>
            <w:r>
              <w:rPr/>
              <w:t xml:space="preserve">les conditions d’obtention du titre</w:t>
            </w:r>
            <w:r>
              <w:rPr/>
              <w:t xml:space="preserve"> (validation et certification)</w:t>
            </w:r>
          </w:p>
          <w:p>
            <w:pPr>
              <w:pStyle w:val="TitreabRglement"/>
              <w:spacing/>
              <w:rPr/>
            </w:pPr>
            <w:r>
              <w:rPr/>
              <w:t xml:space="preserve">les frais de formation</w:t>
            </w:r>
            <w:r>
              <w:rPr/>
              <w:t xml:space="preserve">.</w:t>
            </w:r>
          </w:p>
        </w:tc>
      </w:tr>
      <w:tr>
        <w:trPr/>
        <w:tc>
          <w:tcPr>
            <w:tcW w:type="dxa" w:w="2950"/>
            <w:tcBorders/>
            <w:tcMar>
              <w:top w:w="170" w:type="dxa"/>
              <w:left w:w="0" w:type="dxa"/>
              <w:bottom w:w="170" w:type="dxa"/>
              <w:right w:w="70" w:type="dxa"/>
            </w:tcMar>
          </w:tcPr>
          <w:p>
            <w:pPr>
              <w:pStyle w:val="Titrearticle"/>
              <w:spacing w:before="0" w:after="0"/>
              <w:rPr/>
            </w:pPr>
            <w:r>
              <w:rPr/>
              <w:t xml:space="preserve">Art. 3</w:t>
            </w:r>
          </w:p>
          <w:p>
            <w:pPr>
              <w:pStyle w:val="Titredescriptif"/>
              <w:spacing/>
              <w:rPr/>
            </w:pPr>
            <w:r>
              <w:rPr/>
              <w:t xml:space="preserve">Document annexe</w:t>
            </w:r>
          </w:p>
        </w:tc>
        <w:tc>
          <w:tcPr>
            <w:tcW w:type="dxa" w:w="6240"/>
            <w:tcBorders/>
          </w:tcPr>
          <w:p>
            <w:pPr>
              <w:spacing/>
              <w:rPr/>
            </w:pPr>
            <w:r>
              <w:rPr/>
              <w:t xml:space="preserve">Le présent règlement s’appuie sur la description de la formation faite dans le document « </w:t>
            </w:r>
            <w:r>
              <w:rPr/>
              <w:t xml:space="preserve">Présentation du concept de formation</w:t>
            </w:r>
            <w:r>
              <w:rPr/>
              <w:t xml:space="preserve"> » dans lequel sont définis les contenus de la formation ainsi que l’organisation des </w:t>
            </w:r>
            <w:r>
              <w:rPr/>
              <w:t xml:space="preserve">modules et leur validation</w:t>
            </w:r>
            <w:r>
              <w:rPr/>
              <w:t xml:space="preserve">.</w:t>
            </w:r>
          </w:p>
        </w:tc>
      </w:tr>
      <w:tr>
        <w:trPr/>
        <w:tc>
          <w:tcPr>
            <w:tcW w:type="dxa" w:w="2950"/>
            <w:tcBorders/>
            <w:tcMar>
              <w:top w:w="170" w:type="dxa"/>
              <w:left w:w="0" w:type="dxa"/>
              <w:bottom w:w="170" w:type="dxa"/>
              <w:right w:w="70" w:type="dxa"/>
            </w:tcMar>
          </w:tcPr>
          <w:p>
            <w:pPr>
              <w:pStyle w:val="Titrearticle"/>
              <w:spacing w:before="0" w:after="0"/>
              <w:rPr/>
            </w:pPr>
            <w:r>
              <w:rPr/>
              <w:t xml:space="preserve">Art. 4</w:t>
            </w:r>
          </w:p>
          <w:p>
            <w:pPr>
              <w:pStyle w:val="Titredescriptif"/>
              <w:spacing/>
              <w:rPr/>
            </w:pPr>
            <w:r>
              <w:rPr/>
              <w:t xml:space="preserve">Volées de formation</w:t>
            </w:r>
          </w:p>
        </w:tc>
        <w:tc>
          <w:tcPr>
            <w:tcW w:type="dxa" w:w="6240"/>
            <w:tcBorders/>
          </w:tcPr>
          <w:p>
            <w:pPr>
              <w:spacing/>
              <w:rPr/>
            </w:pPr>
            <w:r>
              <w:rPr/>
              <w:t xml:space="preserve">Une première volée de formation est mise sur pied en 2015-2016. Le Rectorat décide de la mise en place éventuelle d’autres volées de formation.</w:t>
            </w:r>
          </w:p>
        </w:tc>
      </w:tr>
    </w:tbl>
    <w:p>
      <w:pPr>
        <w:spacing/>
        <w:rPr/>
      </w:pPr>
      <w:r>
        <w:rPr>
          <w:b/>
          <w:bCs/>
        </w:rPr>
        <w:br w:type="page"/>
      </w:r>
    </w:p>
    <w:tbl>
      <w:tblPr>
        <w:tblW w:w="9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70" w:type="dxa"/>
        </w:tblCellMar>
        <w:tblLook w:val="0000" w:firstRow="0" w:lastRow="0" w:firstColumn="0" w:lastColumn="0" w:noHBand="0" w:noVBand="0"/>
      </w:tblPr>
      <w:tblGrid>
        <w:gridCol w:w="2950"/>
        <w:gridCol w:w="6240"/>
      </w:tblGrid>
      <w:tr>
        <w:trPr>
          <w:cantSplit/>
        </w:trPr>
        <w:tc>
          <w:tcPr>
            <w:tcW w:type="dxa" w:w="9190"/>
            <w:gridSpan w:val="2"/>
            <w:tcBorders/>
          </w:tcPr>
          <w:p>
            <w:pPr>
              <w:pStyle w:val="Titrechapitre"/>
              <w:spacing/>
              <w:rPr/>
            </w:pPr>
            <w:r>
              <w:rPr/>
              <w:t xml:space="preserve">Cadre de la formation</w:t>
            </w:r>
          </w:p>
        </w:tc>
      </w:tr>
      <w:tr>
        <w:trPr/>
        <w:tc>
          <w:tcPr>
            <w:tcW w:type="dxa" w:w="2950"/>
            <w:tcBorders/>
            <w:tcMar>
              <w:top w:w="170" w:type="dxa"/>
              <w:left w:w="0" w:type="dxa"/>
              <w:bottom w:w="170" w:type="dxa"/>
              <w:right w:w="70" w:type="dxa"/>
            </w:tcMar>
          </w:tcPr>
          <w:p>
            <w:pPr>
              <w:pStyle w:val="Titrearticle"/>
              <w:spacing w:before="0" w:after="0"/>
              <w:rPr/>
            </w:pPr>
            <w:r>
              <w:rPr/>
              <w:t xml:space="preserve">Art. </w:t>
            </w:r>
            <w:r>
              <w:rPr/>
              <w:t xml:space="preserve">5</w:t>
            </w:r>
          </w:p>
          <w:p>
            <w:pPr>
              <w:pStyle w:val="Titredescriptif"/>
              <w:spacing/>
              <w:rPr/>
            </w:pPr>
            <w:r>
              <w:rPr/>
              <w:t xml:space="preserve">Contexte</w:t>
            </w:r>
          </w:p>
        </w:tc>
        <w:tc>
          <w:tcPr>
            <w:tcW w:type="dxa" w:w="6240"/>
            <w:tcBorders/>
          </w:tcPr>
          <w:p>
            <w:pPr>
              <w:spacing/>
              <w:rPr/>
            </w:pPr>
            <w:r>
              <w:rPr/>
              <w:t xml:space="preserve">L’analyse des pratiques professionnelles </w:t>
            </w:r>
            <w:r>
              <w:rPr/>
              <w:t xml:space="preserve">(APP)</w:t>
            </w:r>
            <w:r>
              <w:rPr>
                <w:color w:val="00B050"/>
              </w:rPr>
              <w:t xml:space="preserve"> </w:t>
            </w:r>
            <w:r>
              <w:rPr/>
              <w:t xml:space="preserve">fait partie des actes de formation des futurs enseignants et offre aux enseignants une possibilité de développement de la pratique réflexive en formation continue</w:t>
            </w:r>
            <w:r>
              <w:rPr/>
              <w:t xml:space="preserve">.</w:t>
            </w:r>
          </w:p>
        </w:tc>
      </w:tr>
      <w:tr>
        <w:trPr/>
        <w:tc>
          <w:tcPr>
            <w:tcW w:type="dxa" w:w="2950"/>
            <w:tcBorders/>
            <w:tcMar>
              <w:top w:w="170" w:type="dxa"/>
              <w:left w:w="0" w:type="dxa"/>
              <w:bottom w:w="170" w:type="dxa"/>
              <w:right w:w="70" w:type="dxa"/>
            </w:tcMar>
          </w:tcPr>
          <w:p>
            <w:pPr>
              <w:pStyle w:val="Titrearticle"/>
              <w:spacing w:before="0" w:after="0"/>
              <w:rPr/>
            </w:pPr>
            <w:r>
              <w:rPr/>
              <w:t xml:space="preserve">Art</w:t>
            </w:r>
            <w:r>
              <w:rPr/>
              <w:t xml:space="preserve">. 6</w:t>
            </w:r>
          </w:p>
          <w:p>
            <w:pPr>
              <w:pStyle w:val="Titredescriptif"/>
              <w:spacing/>
              <w:rPr/>
            </w:pPr>
            <w:r>
              <w:rPr/>
              <w:t xml:space="preserve">Intention</w:t>
            </w:r>
          </w:p>
        </w:tc>
        <w:tc>
          <w:tcPr>
            <w:tcW w:type="dxa" w:w="6240"/>
            <w:tcBorders/>
          </w:tcPr>
          <w:p>
            <w:pPr>
              <w:spacing/>
              <w:rPr/>
            </w:pPr>
            <w:r>
              <w:rPr/>
              <w:t xml:space="preserve">La formation</w:t>
            </w:r>
            <w:r>
              <w:rPr/>
              <w:t xml:space="preserve"> vise à former des enseignant</w:t>
            </w:r>
            <w:r>
              <w:rPr/>
              <w:t xml:space="preserve">s </w:t>
            </w:r>
            <w:r>
              <w:rPr/>
              <w:t xml:space="preserve">à animer des groupes d’analyse des pratiques professionnelles pour la formation de base ou la formation continue</w:t>
            </w:r>
            <w:r>
              <w:rPr/>
              <w:t xml:space="preserve">.</w:t>
            </w:r>
          </w:p>
        </w:tc>
      </w:tr>
      <w:tr>
        <w:trPr/>
        <w:tc>
          <w:tcPr>
            <w:tcW w:type="dxa" w:w="2950"/>
            <w:tcBorders/>
            <w:tcMar>
              <w:top w:w="170" w:type="dxa"/>
              <w:left w:w="0" w:type="dxa"/>
              <w:bottom w:w="170" w:type="dxa"/>
              <w:right w:w="70" w:type="dxa"/>
            </w:tcMar>
          </w:tcPr>
          <w:p>
            <w:pPr>
              <w:pStyle w:val="Titrearticle"/>
              <w:spacing w:before="0" w:after="0"/>
              <w:rPr/>
            </w:pPr>
            <w:r>
              <w:rPr/>
              <w:t xml:space="preserve">Art. 7</w:t>
            </w:r>
          </w:p>
          <w:p>
            <w:pPr>
              <w:pStyle w:val="Titredescriptif"/>
              <w:spacing/>
              <w:rPr/>
            </w:pPr>
            <w:r>
              <w:rPr/>
              <w:t xml:space="preserve">Objectifs généraux</w:t>
            </w:r>
          </w:p>
        </w:tc>
        <w:tc>
          <w:tcPr>
            <w:tcW w:type="dxa" w:w="6240"/>
            <w:tcBorders/>
          </w:tcPr>
          <w:p>
            <w:pPr>
              <w:pStyle w:val="TitreabRglement"/>
              <w:numPr>
                <w:ilvl w:val="0"/>
                <w:numId w:val="0"/>
              </w:numPr>
              <w:spacing/>
              <w:rPr/>
            </w:pPr>
            <w:r>
              <w:rPr>
                <w:vertAlign w:val="superscript"/>
              </w:rPr>
              <w:t xml:space="preserve">1</w:t>
            </w:r>
            <w:r>
              <w:rPr/>
              <w:t xml:space="preserve">Viser l’acquisition des compétences spécifiques nécessaires à la conduite des séminaires d’APP.</w:t>
            </w:r>
          </w:p>
          <w:p>
            <w:pPr>
              <w:pStyle w:val="TitreabRglement"/>
              <w:numPr>
                <w:ilvl w:val="0"/>
                <w:numId w:val="0"/>
              </w:numPr>
              <w:spacing/>
              <w:rPr>
                <w:color w:val="00B050"/>
              </w:rPr>
            </w:pPr>
            <w:r>
              <w:rPr>
                <w:vertAlign w:val="superscript"/>
              </w:rPr>
              <w:t xml:space="preserve">2</w:t>
            </w:r>
            <w:r>
              <w:rPr/>
              <w:t xml:space="preserve">Form</w:t>
            </w:r>
            <w:r>
              <w:rPr/>
              <w:t xml:space="preserve">er au rôle de « tiers-passeur » tel que défini dans le document </w:t>
            </w:r>
            <w:r>
              <w:rPr/>
              <w:t xml:space="preserve">« </w:t>
            </w:r>
            <w:r>
              <w:rPr/>
              <w:t xml:space="preserve">Présentation du concept de formation ». </w:t>
            </w:r>
          </w:p>
          <w:p>
            <w:pPr>
              <w:pStyle w:val="TitreabRglement"/>
              <w:numPr>
                <w:ilvl w:val="0"/>
                <w:numId w:val="0"/>
              </w:numPr>
              <w:spacing/>
              <w:rPr/>
            </w:pPr>
            <w:r>
              <w:rPr>
                <w:vertAlign w:val="superscript"/>
              </w:rPr>
              <w:t xml:space="preserve">3</w:t>
            </w:r>
            <w:r>
              <w:rPr/>
              <w:t xml:space="preserve">Mener un travail sur l’écoute, sur la formulation de questions ouvertes, sur la gestion et l’accueil des émotions, sur l’accompagnement dans le changement.</w:t>
            </w:r>
          </w:p>
        </w:tc>
      </w:tr>
      <w:tr>
        <w:trPr>
          <w:cantSplit/>
        </w:trPr>
        <w:tc>
          <w:tcPr>
            <w:tcW w:type="dxa" w:w="9190"/>
            <w:gridSpan w:val="2"/>
            <w:tcBorders/>
          </w:tcPr>
          <w:p>
            <w:pPr>
              <w:pStyle w:val="Titrechapitre"/>
              <w:spacing/>
              <w:rPr/>
            </w:pPr>
            <w:r>
              <w:rPr/>
              <w:t xml:space="preserve">Commission</w:t>
            </w:r>
          </w:p>
        </w:tc>
      </w:tr>
      <w:tr>
        <w:trPr/>
        <w:tc>
          <w:tcPr>
            <w:tcW w:type="dxa" w:w="2950"/>
            <w:tcBorders/>
            <w:tcMar>
              <w:top w:w="170" w:type="dxa"/>
              <w:left w:w="0" w:type="dxa"/>
              <w:bottom w:w="170" w:type="dxa"/>
              <w:right w:w="70" w:type="dxa"/>
            </w:tcMar>
          </w:tcPr>
          <w:p>
            <w:pPr>
              <w:pStyle w:val="Titrearticle"/>
              <w:spacing w:before="0" w:after="0"/>
              <w:rPr/>
            </w:pPr>
            <w:r>
              <w:rPr/>
              <w:t xml:space="preserve">Art. </w:t>
            </w:r>
            <w:r>
              <w:rPr/>
              <w:t xml:space="preserve">8</w:t>
            </w:r>
          </w:p>
          <w:p>
            <w:pPr>
              <w:pStyle w:val="Titredescriptif"/>
              <w:spacing/>
              <w:rPr/>
            </w:pPr>
            <w:r>
              <w:rPr/>
              <w:t xml:space="preserve">Composition et tâches</w:t>
            </w:r>
          </w:p>
        </w:tc>
        <w:tc>
          <w:tcPr>
            <w:tcW w:type="dxa" w:w="6240"/>
            <w:tcBorders/>
          </w:tcPr>
          <w:p>
            <w:pPr>
              <w:spacing/>
              <w:rPr/>
            </w:pPr>
            <w:r>
              <w:rPr>
                <w:vertAlign w:val="superscript"/>
              </w:rPr>
              <w:t xml:space="preserve">1</w:t>
            </w:r>
            <w:r>
              <w:rPr/>
              <w:t xml:space="preserve">L</w:t>
            </w:r>
            <w:r>
              <w:rPr/>
              <w:t xml:space="preserve">a commission est composé</w:t>
            </w:r>
            <w:r>
              <w:rPr/>
              <w:t xml:space="preserve">e</w:t>
            </w:r>
            <w:r>
              <w:rPr/>
              <w:t xml:space="preserve"> du responsable du projet, d’un représentant de la </w:t>
            </w:r>
            <w:r>
              <w:rPr/>
              <w:t xml:space="preserve">formation continue</w:t>
            </w:r>
            <w:r>
              <w:rPr/>
              <w:t xml:space="preserve"> et d’</w:t>
            </w:r>
            <w:r>
              <w:rPr/>
              <w:t xml:space="preserve">un représentant</w:t>
            </w:r>
            <w:r>
              <w:rPr>
                <w:color w:val="00B050"/>
              </w:rPr>
              <w:t xml:space="preserve"> </w:t>
            </w:r>
            <w:r>
              <w:rPr/>
              <w:t xml:space="preserve">des associations professionnelles.</w:t>
            </w:r>
          </w:p>
          <w:p>
            <w:pPr>
              <w:spacing/>
              <w:rPr/>
            </w:pPr>
            <w:r>
              <w:rPr>
                <w:vertAlign w:val="superscript"/>
              </w:rPr>
              <w:t xml:space="preserve">2</w:t>
            </w:r>
            <w:r>
              <w:rPr/>
              <w:t xml:space="preserve">Les</w:t>
            </w:r>
            <w:r>
              <w:rPr/>
              <w:t xml:space="preserve"> tâches de la commission sont complétées comme suit :</w:t>
            </w:r>
          </w:p>
          <w:p>
            <w:pPr>
              <w:numPr>
                <w:ilvl w:val="0"/>
                <w:numId w:val="1"/>
              </w:numPr>
              <w:spacing/>
              <w:ind w:left="397" w:hanging="397"/>
              <w:rPr/>
            </w:pPr>
            <w:r>
              <w:rPr/>
              <w:t xml:space="preserve">fixer le nombre maximum de personnes admissibles dans la formation;</w:t>
            </w:r>
          </w:p>
          <w:p>
            <w:pPr>
              <w:numPr>
                <w:ilvl w:val="0"/>
                <w:numId w:val="1"/>
              </w:numPr>
              <w:spacing/>
              <w:ind w:left="397" w:hanging="397"/>
              <w:rPr/>
            </w:pPr>
            <w:r>
              <w:rPr/>
              <w:t xml:space="preserve">avaliser les admissions;</w:t>
            </w:r>
          </w:p>
          <w:p>
            <w:pPr>
              <w:numPr>
                <w:ilvl w:val="0"/>
                <w:numId w:val="1"/>
              </w:numPr>
              <w:spacing/>
              <w:ind w:left="397" w:hanging="397"/>
              <w:rPr/>
            </w:pPr>
            <w:r>
              <w:rPr/>
              <w:t xml:space="preserve">statuer</w:t>
            </w:r>
            <w:r>
              <w:rPr/>
              <w:t xml:space="preserve"> sur des demandes de reconnaissance d’acquis de formations dûment documentées et, le cas échéant, valider les crédits de formation relatifs</w:t>
            </w:r>
            <w:r>
              <w:rPr/>
              <w:t xml:space="preserve">;</w:t>
            </w:r>
          </w:p>
          <w:p>
            <w:pPr>
              <w:numPr>
                <w:ilvl w:val="0"/>
                <w:numId w:val="1"/>
              </w:numPr>
              <w:spacing/>
              <w:ind w:left="397" w:hanging="397"/>
              <w:rPr/>
            </w:pPr>
            <w:r>
              <w:rPr/>
              <w:t xml:space="preserve">adopter ses directives internes d’application;</w:t>
            </w:r>
          </w:p>
          <w:p>
            <w:pPr>
              <w:numPr>
                <w:ilvl w:val="0"/>
                <w:numId w:val="1"/>
              </w:numPr>
              <w:spacing/>
              <w:ind w:left="397" w:hanging="397"/>
              <w:rPr>
                <w:b/>
                <w:color w:val="00B050"/>
              </w:rPr>
            </w:pPr>
            <w:r>
              <w:rPr/>
              <w:t xml:space="preserve">valider </w:t>
            </w:r>
            <w:r>
              <w:rPr/>
              <w:t xml:space="preserve">la certification sur proposition du responsable de la formation.</w:t>
            </w:r>
          </w:p>
        </w:tc>
      </w:tr>
      <w:tr>
        <w:trPr>
          <w:cantSplit/>
        </w:trPr>
        <w:tc>
          <w:tcPr>
            <w:tcW w:type="dxa" w:w="9190"/>
            <w:gridSpan w:val="2"/>
            <w:tcBorders/>
          </w:tcPr>
          <w:p>
            <w:pPr>
              <w:pStyle w:val="Titrechapitre"/>
              <w:spacing/>
              <w:rPr/>
            </w:pPr>
            <w:r>
              <w:rPr/>
              <w:t xml:space="preserve">Critères et procédure d’admission</w:t>
            </w:r>
          </w:p>
        </w:tc>
      </w:tr>
      <w:tr>
        <w:trPr/>
        <w:tc>
          <w:tcPr>
            <w:tcW w:type="dxa" w:w="2950"/>
            <w:tcBorders/>
            <w:tcMar>
              <w:top w:w="170" w:type="dxa"/>
              <w:left w:w="0" w:type="dxa"/>
              <w:bottom w:w="170" w:type="dxa"/>
              <w:right w:w="70" w:type="dxa"/>
            </w:tcMar>
          </w:tcPr>
          <w:p>
            <w:pPr>
              <w:pStyle w:val="Titrearticle"/>
              <w:spacing w:before="0" w:after="0"/>
              <w:rPr/>
            </w:pPr>
            <w:r>
              <w:rPr/>
              <w:t xml:space="preserve">Art. 9</w:t>
            </w:r>
          </w:p>
          <w:p>
            <w:pPr>
              <w:pStyle w:val="Titredescriptif"/>
              <w:spacing/>
              <w:rPr/>
            </w:pPr>
            <w:r>
              <w:rPr/>
              <w:t xml:space="preserve">Critère général d’admission</w:t>
            </w:r>
          </w:p>
        </w:tc>
        <w:tc>
          <w:tcPr>
            <w:tcW w:type="dxa" w:w="6240"/>
            <w:tcBorders/>
          </w:tcPr>
          <w:p>
            <w:pPr>
              <w:spacing/>
              <w:rPr/>
            </w:pPr>
            <w:r>
              <w:rPr/>
              <w:t xml:space="preserve">Peuvent être admises à la formation les personnes candidates qui</w:t>
            </w:r>
            <w:r>
              <w:rPr/>
              <w:t xml:space="preserve"> sont</w:t>
            </w:r>
            <w:r>
              <w:rPr/>
              <w:t xml:space="preserve"> :</w:t>
            </w:r>
          </w:p>
          <w:p>
            <w:pPr>
              <w:numPr>
                <w:ilvl w:val="0"/>
                <w:numId w:val="6"/>
              </w:numPr>
              <w:spacing/>
              <w:ind w:left="416" w:hanging="416"/>
              <w:rPr/>
            </w:pPr>
            <w:r>
              <w:rPr/>
              <w:t xml:space="preserve">formateurs </w:t>
            </w:r>
            <w:r>
              <w:rPr/>
              <w:t xml:space="preserve">à la HEP-BEJUNE ou dans l’espace BEJUNE;</w:t>
            </w:r>
          </w:p>
          <w:p>
            <w:pPr>
              <w:numPr>
                <w:ilvl w:val="0"/>
                <w:numId w:val="6"/>
              </w:numPr>
              <w:spacing/>
              <w:ind w:left="416" w:hanging="416"/>
              <w:rPr>
                <w:b/>
              </w:rPr>
            </w:pPr>
            <w:r>
              <w:rPr/>
              <w:t xml:space="preserve">titulaires </w:t>
            </w:r>
            <w:r>
              <w:rPr/>
              <w:t xml:space="preserve">d’un titre reconnu d’enseignement.</w:t>
            </w:r>
          </w:p>
        </w:tc>
      </w:tr>
    </w:tbl>
    <w:p>
      <w:pPr>
        <w:spacing/>
        <w:rPr/>
      </w:pPr>
      <w:r>
        <w:rPr>
          <w:b/>
          <w:bCs/>
        </w:rPr>
        <w:br w:type="page"/>
      </w:r>
    </w:p>
    <w:tbl>
      <w:tblPr>
        <w:tblW w:w="9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70" w:type="dxa"/>
        </w:tblCellMar>
        <w:tblLook w:val="0000" w:firstRow="0" w:lastRow="0" w:firstColumn="0" w:lastColumn="0" w:noHBand="0" w:noVBand="0"/>
      </w:tblPr>
      <w:tblGrid>
        <w:gridCol w:w="2950"/>
        <w:gridCol w:w="6240"/>
      </w:tblGrid>
      <w:tr>
        <w:trPr/>
        <w:tc>
          <w:tcPr>
            <w:tcW w:type="dxa" w:w="2950"/>
            <w:tcBorders/>
            <w:tcMar>
              <w:top w:w="170" w:type="dxa"/>
              <w:left w:w="0" w:type="dxa"/>
              <w:bottom w:w="170" w:type="dxa"/>
              <w:right w:w="70" w:type="dxa"/>
            </w:tcMar>
          </w:tcPr>
          <w:p>
            <w:pPr>
              <w:pStyle w:val="Titrearticle"/>
              <w:spacing w:before="0" w:after="0"/>
              <w:rPr/>
            </w:pPr>
            <w:r>
              <w:rPr/>
              <w:t xml:space="preserve">Art. 10</w:t>
            </w:r>
          </w:p>
          <w:p>
            <w:pPr>
              <w:pStyle w:val="Titredescriptif"/>
              <w:spacing/>
              <w:rPr/>
            </w:pPr>
            <w:r>
              <w:rPr/>
              <w:t xml:space="preserve">Critères supplétifs d’admission</w:t>
            </w:r>
          </w:p>
        </w:tc>
        <w:tc>
          <w:tcPr>
            <w:tcW w:type="dxa" w:w="6240"/>
            <w:tcBorders/>
          </w:tcPr>
          <w:p>
            <w:pPr>
              <w:spacing/>
              <w:rPr/>
            </w:pPr>
            <w:r>
              <w:rPr/>
              <w:t xml:space="preserve">Lorsque le nombre des personnes candidates admissibles dépasse la limite fixée par le Rectorat, les critères supplétifs sont appliqués dans l'ordre où ils figurent ci-après :</w:t>
            </w:r>
          </w:p>
          <w:p>
            <w:pPr>
              <w:numPr>
                <w:ilvl w:val="0"/>
                <w:numId w:val="2"/>
              </w:numPr>
              <w:spacing/>
              <w:ind w:left="397" w:hanging="397"/>
              <w:rPr/>
            </w:pPr>
            <w:r>
              <w:rPr/>
              <w:t xml:space="preserve">enseignant </w:t>
            </w:r>
            <w:r>
              <w:rPr/>
              <w:t xml:space="preserve">chargé des séminaires en APP dans le cadre de la HEP-BEJUNE;</w:t>
            </w:r>
          </w:p>
          <w:p>
            <w:pPr>
              <w:numPr>
                <w:ilvl w:val="0"/>
                <w:numId w:val="2"/>
              </w:numPr>
              <w:spacing/>
              <w:ind w:left="397" w:hanging="397"/>
              <w:rPr/>
            </w:pPr>
            <w:r>
              <w:rPr/>
              <w:t xml:space="preserve">enseignant </w:t>
            </w:r>
            <w:r>
              <w:rPr/>
              <w:t xml:space="preserve">chargé des séminaires en APP</w:t>
            </w:r>
            <w:r>
              <w:rPr/>
              <w:t xml:space="preserve">;</w:t>
            </w:r>
          </w:p>
          <w:p>
            <w:pPr>
              <w:numPr>
                <w:ilvl w:val="0"/>
                <w:numId w:val="2"/>
              </w:numPr>
              <w:spacing/>
              <w:ind w:left="397" w:hanging="397"/>
              <w:rPr/>
            </w:pPr>
            <w:r>
              <w:rPr/>
              <w:t xml:space="preserve">lettre de motivation</w:t>
            </w:r>
            <w:r>
              <w:rPr/>
              <w:t xml:space="preserve">.</w:t>
            </w:r>
          </w:p>
        </w:tc>
      </w:tr>
      <w:tr>
        <w:trPr/>
        <w:tc>
          <w:tcPr>
            <w:tcW w:type="dxa" w:w="2950"/>
            <w:tcBorders/>
            <w:tcMar>
              <w:top w:w="170" w:type="dxa"/>
              <w:left w:w="0" w:type="dxa"/>
              <w:bottom w:w="170" w:type="dxa"/>
              <w:right w:w="70" w:type="dxa"/>
            </w:tcMar>
          </w:tcPr>
          <w:p>
            <w:pPr>
              <w:pStyle w:val="Titrearticle"/>
              <w:spacing w:before="0" w:after="0"/>
              <w:rPr/>
            </w:pPr>
            <w:r>
              <w:rPr/>
              <w:t xml:space="preserve">Art. 11</w:t>
            </w:r>
          </w:p>
          <w:p>
            <w:pPr>
              <w:pStyle w:val="Titredescriptif"/>
              <w:spacing/>
              <w:rPr/>
            </w:pPr>
            <w:r>
              <w:rPr/>
              <w:t xml:space="preserve">Inscription</w:t>
            </w:r>
          </w:p>
        </w:tc>
        <w:tc>
          <w:tcPr>
            <w:tcW w:type="dxa" w:w="6240"/>
            <w:tcBorders/>
          </w:tcPr>
          <w:p>
            <w:pPr>
              <w:spacing/>
              <w:rPr/>
            </w:pPr>
            <w:r>
              <w:rPr/>
              <w:t xml:space="preserve">Les candidats remplissent le formulaire d’inscription en ligne et déposent les documents requis auprès du Service Académique.</w:t>
            </w:r>
          </w:p>
        </w:tc>
      </w:tr>
      <w:tr>
        <w:trPr>
          <w:cantSplit/>
        </w:trPr>
        <w:tc>
          <w:tcPr>
            <w:tcW w:type="dxa" w:w="9190"/>
            <w:gridSpan w:val="2"/>
            <w:tcBorders/>
          </w:tcPr>
          <w:p>
            <w:pPr>
              <w:pStyle w:val="Titrechapitre"/>
              <w:spacing/>
              <w:rPr/>
            </w:pPr>
            <w:r>
              <w:rPr/>
              <w:t xml:space="preserve">Durée et organisation de la formation</w:t>
            </w:r>
          </w:p>
        </w:tc>
      </w:tr>
      <w:tr>
        <w:trPr/>
        <w:tc>
          <w:tcPr>
            <w:tcW w:type="dxa" w:w="2950"/>
            <w:tcBorders/>
            <w:tcMar>
              <w:top w:w="170" w:type="dxa"/>
              <w:left w:w="0" w:type="dxa"/>
              <w:bottom w:w="170" w:type="dxa"/>
              <w:right w:w="70" w:type="dxa"/>
            </w:tcMar>
          </w:tcPr>
          <w:p>
            <w:pPr>
              <w:pStyle w:val="Titrearticle"/>
              <w:spacing w:before="0" w:after="0"/>
              <w:rPr/>
            </w:pPr>
            <w:r>
              <w:rPr/>
              <w:t xml:space="preserve">Art. 12</w:t>
            </w:r>
          </w:p>
          <w:p>
            <w:pPr>
              <w:pStyle w:val="Titredescriptif"/>
              <w:spacing/>
              <w:rPr/>
            </w:pPr>
            <w:r>
              <w:rPr/>
              <w:t xml:space="preserve">Structure de la formation</w:t>
            </w:r>
          </w:p>
        </w:tc>
        <w:tc>
          <w:tcPr>
            <w:tcW w:type="dxa" w:w="6240"/>
            <w:tcBorders/>
          </w:tcPr>
          <w:p>
            <w:pPr>
              <w:spacing/>
              <w:rPr/>
            </w:pPr>
            <w:r>
              <w:rPr>
                <w:vertAlign w:val="superscript"/>
              </w:rPr>
              <w:t xml:space="preserve">1</w:t>
            </w:r>
            <w:r>
              <w:rPr/>
              <w:t xml:space="preserve">Cette </w:t>
            </w:r>
            <w:r>
              <w:rPr/>
              <w:t xml:space="preserve">formation se déroule en dehors de l'horaire scolaire.</w:t>
            </w:r>
          </w:p>
          <w:p>
            <w:pPr>
              <w:spacing/>
              <w:rPr/>
            </w:pPr>
            <w:r>
              <w:rPr>
                <w:vertAlign w:val="superscript"/>
              </w:rPr>
              <w:t xml:space="preserve">2</w:t>
            </w:r>
            <w:r>
              <w:rPr/>
              <w:t xml:space="preserve">La formation </w:t>
            </w:r>
            <w:r>
              <w:rPr/>
              <w:t xml:space="preserve">s’étend sur une année, de septembre 2015 à juin 2016.</w:t>
            </w:r>
          </w:p>
          <w:p>
            <w:pPr>
              <w:spacing/>
              <w:rPr/>
            </w:pPr>
            <w:r>
              <w:rPr>
                <w:vertAlign w:val="superscript"/>
              </w:rPr>
              <w:t xml:space="preserve">3</w:t>
            </w:r>
            <w:r>
              <w:rPr/>
              <w:t xml:space="preserve">Elle peut </w:t>
            </w:r>
            <w:r>
              <w:rPr/>
              <w:t xml:space="preserve">être prolongée pour les candidats n’ayant pas le nombre d’heures de pratique en APP.</w:t>
            </w:r>
          </w:p>
        </w:tc>
      </w:tr>
      <w:tr>
        <w:trPr/>
        <w:tc>
          <w:tcPr>
            <w:tcW w:type="dxa" w:w="2950"/>
            <w:tcBorders/>
            <w:tcMar>
              <w:top w:w="170" w:type="dxa"/>
              <w:left w:w="0" w:type="dxa"/>
              <w:bottom w:w="170" w:type="dxa"/>
              <w:right w:w="70" w:type="dxa"/>
            </w:tcMar>
          </w:tcPr>
          <w:p>
            <w:pPr>
              <w:pStyle w:val="Titrearticle"/>
              <w:spacing w:before="0" w:after="0"/>
              <w:rPr>
                <w:bCs w:val="0"/>
              </w:rPr>
            </w:pPr>
            <w:r>
              <w:rPr>
                <w:bCs w:val="0"/>
              </w:rPr>
              <w:t xml:space="preserve">Art. 13</w:t>
            </w:r>
          </w:p>
          <w:p>
            <w:pPr>
              <w:pStyle w:val="Titredescriptif"/>
              <w:spacing/>
              <w:rPr>
                <w:rFonts w:cs="Times New Roman"/>
                <w:sz w:val="20"/>
                <w:szCs w:val="24"/>
              </w:rPr>
            </w:pPr>
            <w:r>
              <w:rPr>
                <w:rFonts w:cs="Times New Roman"/>
                <w:szCs w:val="24"/>
              </w:rPr>
              <w:t xml:space="preserve">Durée</w:t>
            </w:r>
          </w:p>
        </w:tc>
        <w:tc>
          <w:tcPr>
            <w:tcW w:type="dxa" w:w="6240"/>
            <w:tcBorders/>
          </w:tcPr>
          <w:p>
            <w:pPr>
              <w:spacing/>
              <w:rPr/>
            </w:pPr>
            <w:r>
              <w:rPr/>
              <w:t xml:space="preserve">Durée de la formation : 12</w:t>
            </w:r>
            <w:r>
              <w:rPr/>
              <w:t xml:space="preserve"> crédits ECTS</w:t>
            </w:r>
            <w:r>
              <w:rPr>
                <w:vertAlign w:val="superscript"/>
              </w:rPr>
              <w:footnoteReference w:customMarkFollows="0" w:id="3"/>
            </w:r>
            <w:r>
              <w:rPr/>
              <w:t xml:space="preserve"> répartis de la manière suivante</w:t>
            </w:r>
            <w:r>
              <w:rPr/>
              <w:t xml:space="preserve"> :</w:t>
            </w:r>
          </w:p>
          <w:p>
            <w:pPr>
              <w:pStyle w:val="TitrePuceRglement"/>
              <w:tabs>
                <w:tab w:val="left" w:pos="4988"/>
              </w:tabs>
              <w:spacing/>
              <w:rPr/>
            </w:pPr>
            <w:r>
              <w:rPr/>
              <w:t xml:space="preserve">modules théoriques</w:t>
            </w:r>
            <w:r>
              <w:rPr/>
              <w:tab/>
              <w:t xml:space="preserve"/>
            </w:r>
            <w:r>
              <w:rPr/>
              <w:t xml:space="preserve">4 ECTS</w:t>
            </w:r>
          </w:p>
          <w:p>
            <w:pPr>
              <w:pStyle w:val="TitrePuceRglement"/>
              <w:tabs>
                <w:tab w:val="left" w:pos="4988"/>
              </w:tabs>
              <w:spacing/>
              <w:rPr/>
            </w:pPr>
            <w:r>
              <w:rPr/>
              <w:t xml:space="preserve">module d’accompagnement</w:t>
            </w:r>
            <w:r>
              <w:rPr/>
              <w:tab/>
              <w:t xml:space="preserve"/>
            </w:r>
            <w:r>
              <w:rPr/>
              <w:t xml:space="preserve">3 ECTS</w:t>
            </w:r>
          </w:p>
          <w:p>
            <w:pPr>
              <w:pStyle w:val="TitrePuceRglement"/>
              <w:tabs>
                <w:tab w:val="left" w:pos="4988"/>
              </w:tabs>
              <w:spacing/>
              <w:rPr/>
            </w:pPr>
            <w:r>
              <w:rPr/>
              <w:t xml:space="preserve">travail de fin de formation</w:t>
            </w:r>
            <w:r>
              <w:rPr/>
              <w:tab/>
              <w:t xml:space="preserve"/>
            </w:r>
            <w:r>
              <w:rPr/>
              <w:t xml:space="preserve">4 ECTS</w:t>
            </w:r>
          </w:p>
          <w:p>
            <w:pPr>
              <w:pStyle w:val="TitrePuceRglement"/>
              <w:tabs>
                <w:tab w:val="left" w:pos="4988"/>
              </w:tabs>
              <w:spacing/>
              <w:rPr/>
            </w:pPr>
            <w:r>
              <w:rPr/>
              <w:t xml:space="preserve">module de pratique de l’APP entre pairs</w:t>
            </w:r>
            <w:r>
              <w:rPr/>
              <w:tab/>
              <w:t xml:space="preserve"/>
            </w:r>
            <w:r>
              <w:rPr/>
              <w:t xml:space="preserve">1 ECTS</w:t>
            </w:r>
          </w:p>
        </w:tc>
      </w:tr>
      <w:tr>
        <w:trPr>
          <w:cantSplit/>
        </w:trPr>
        <w:tc>
          <w:tcPr>
            <w:tcW w:type="dxa" w:w="9190"/>
            <w:gridSpan w:val="2"/>
            <w:tcBorders/>
          </w:tcPr>
          <w:p>
            <w:pPr>
              <w:pStyle w:val="Titrechapitre"/>
              <w:spacing/>
              <w:rPr/>
            </w:pPr>
            <w:r>
              <w:rPr/>
              <w:t xml:space="preserve">Validation, certification</w:t>
            </w:r>
          </w:p>
        </w:tc>
      </w:tr>
      <w:tr>
        <w:trPr/>
        <w:tc>
          <w:tcPr>
            <w:tcW w:type="dxa" w:w="2950"/>
            <w:tcBorders/>
            <w:tcMar>
              <w:top w:w="170" w:type="dxa"/>
              <w:left w:w="0" w:type="dxa"/>
              <w:bottom w:w="170" w:type="dxa"/>
              <w:right w:w="70" w:type="dxa"/>
            </w:tcMar>
          </w:tcPr>
          <w:p>
            <w:pPr>
              <w:pStyle w:val="Titrearticle"/>
              <w:spacing w:before="0" w:after="0"/>
              <w:rPr/>
            </w:pPr>
            <w:r>
              <w:rPr/>
              <w:t xml:space="preserve">Art. 14</w:t>
            </w:r>
          </w:p>
          <w:p>
            <w:pPr>
              <w:pStyle w:val="Titredescriptif"/>
              <w:spacing/>
              <w:rPr/>
            </w:pPr>
            <w:r>
              <w:rPr/>
              <w:t xml:space="preserve">Validation</w:t>
            </w:r>
          </w:p>
        </w:tc>
        <w:tc>
          <w:tcPr>
            <w:tcW w:type="dxa" w:w="6240"/>
            <w:tcBorders/>
          </w:tcPr>
          <w:p>
            <w:pPr>
              <w:spacing/>
              <w:rPr/>
            </w:pPr>
            <w:r>
              <w:rPr>
                <w:vertAlign w:val="superscript"/>
              </w:rPr>
              <w:t xml:space="preserve">1</w:t>
            </w:r>
            <w:r>
              <w:rPr/>
              <w:t xml:space="preserve">La certification repose sur les points suivants :</w:t>
            </w:r>
          </w:p>
          <w:p>
            <w:pPr>
              <w:spacing/>
              <w:ind w:left="397" w:hanging="397"/>
              <w:rPr/>
            </w:pPr>
            <w:r>
              <w:rPr/>
              <w:t xml:space="preserve">-</w:t>
            </w:r>
            <w:r>
              <w:rPr/>
              <w:tab/>
              <w:t xml:space="preserve"/>
            </w:r>
            <w:r>
              <w:rPr/>
              <w:t xml:space="preserve">l’attestation des présences (au minimum 80% de présence)</w:t>
            </w:r>
            <w:r>
              <w:rPr/>
              <w:t xml:space="preserve">;</w:t>
            </w:r>
          </w:p>
          <w:p>
            <w:pPr>
              <w:spacing/>
              <w:ind w:left="397" w:hanging="397"/>
              <w:rPr/>
            </w:pPr>
            <w:r>
              <w:rPr/>
              <w:t xml:space="preserve">-</w:t>
            </w:r>
            <w:r>
              <w:rPr/>
              <w:tab/>
              <w:t xml:space="preserve"/>
            </w:r>
            <w:r>
              <w:rPr/>
              <w:t xml:space="preserve">la justification formelle des absences éventuelles ;</w:t>
            </w:r>
          </w:p>
          <w:p>
            <w:pPr>
              <w:spacing/>
              <w:ind w:left="397" w:hanging="397"/>
              <w:rPr/>
            </w:pPr>
            <w:r>
              <w:rPr/>
              <w:t xml:space="preserve">-</w:t>
            </w:r>
            <w:r>
              <w:rPr/>
              <w:tab/>
              <w:t xml:space="preserve"/>
            </w:r>
            <w:r>
              <w:rPr/>
              <w:t xml:space="preserve">le respect des conditions fixées par le formateur pour la validation du module;</w:t>
            </w:r>
          </w:p>
          <w:p>
            <w:pPr>
              <w:spacing/>
              <w:ind w:left="397" w:hanging="397"/>
              <w:rPr/>
            </w:pPr>
            <w:r>
              <w:rPr/>
              <w:t xml:space="preserve">-</w:t>
            </w:r>
            <w:r>
              <w:rPr/>
              <w:tab/>
              <w:t xml:space="preserve"/>
            </w:r>
            <w:r>
              <w:rPr/>
              <w:t xml:space="preserve">l’attestation de participation au séminaire d’accompagnement;</w:t>
            </w:r>
          </w:p>
          <w:p>
            <w:pPr>
              <w:spacing/>
              <w:ind w:left="397" w:hanging="397"/>
              <w:rPr/>
            </w:pPr>
            <w:r>
              <w:rPr/>
              <w:t xml:space="preserve">-</w:t>
            </w:r>
            <w:r>
              <w:rPr/>
              <w:tab/>
              <w:t xml:space="preserve"/>
            </w:r>
            <w:r>
              <w:rPr/>
              <w:t xml:space="preserve">l’attestation de participation au séminaire de pratique de l’APP entre pairs;</w:t>
            </w:r>
          </w:p>
          <w:p>
            <w:pPr>
              <w:spacing/>
              <w:ind w:left="397" w:hanging="397"/>
              <w:rPr/>
            </w:pPr>
            <w:r>
              <w:rPr/>
              <w:t xml:space="preserve">-</w:t>
            </w:r>
            <w:r>
              <w:rPr/>
              <w:tab/>
              <w:t xml:space="preserve"/>
            </w:r>
            <w:r>
              <w:rPr/>
              <w:t xml:space="preserve">la validation d’un travail écrit de fin de formation.</w:t>
            </w:r>
          </w:p>
          <w:p>
            <w:pPr>
              <w:spacing/>
              <w:ind w:left="397" w:hanging="397"/>
              <w:rPr/>
            </w:pPr>
            <w:r>
              <w:rPr>
                <w:vertAlign w:val="superscript"/>
              </w:rPr>
              <w:t xml:space="preserve">2</w:t>
            </w:r>
            <w:r>
              <w:rPr/>
              <w:t xml:space="preserve">En cas d’absence, un travail complémentaire peut être exigé.</w:t>
            </w:r>
          </w:p>
          <w:p>
            <w:pPr>
              <w:spacing/>
              <w:rPr/>
            </w:pPr>
            <w:r>
              <w:rPr>
                <w:vertAlign w:val="superscript"/>
              </w:rPr>
              <w:t xml:space="preserve">3</w:t>
            </w:r>
            <w:r>
              <w:rPr/>
              <w:t xml:space="preserve">Sous réserve de validation des acquis par équivalence de formation suivie et attestée, portant sur les cours théoriques uniquement, reconnue par la commission avant le début de la formation.</w:t>
            </w:r>
          </w:p>
        </w:tc>
      </w:tr>
    </w:tbl>
    <w:p>
      <w:pPr>
        <w:spacing/>
        <w:rPr/>
      </w:pPr>
      <w:r>
        <w:rPr>
          <w:b/>
          <w:bCs/>
        </w:rPr>
        <w:br w:type="page"/>
      </w:r>
    </w:p>
    <w:tbl>
      <w:tblPr>
        <w:tblW w:w="9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70" w:type="dxa"/>
        </w:tblCellMar>
        <w:tblLook w:val="0000" w:firstRow="0" w:lastRow="0" w:firstColumn="0" w:lastColumn="0" w:noHBand="0" w:noVBand="0"/>
      </w:tblPr>
      <w:tblGrid>
        <w:gridCol w:w="2950"/>
        <w:gridCol w:w="6240"/>
      </w:tblGrid>
      <w:tr>
        <w:trPr/>
        <w:tc>
          <w:tcPr>
            <w:tcW w:type="dxa" w:w="2950"/>
            <w:tcBorders/>
            <w:tcMar>
              <w:top w:w="170" w:type="dxa"/>
              <w:left w:w="0" w:type="dxa"/>
              <w:bottom w:w="170" w:type="dxa"/>
              <w:right w:w="70" w:type="dxa"/>
            </w:tcMar>
          </w:tcPr>
          <w:p>
            <w:pPr>
              <w:pStyle w:val="Titrearticle"/>
              <w:spacing w:before="0" w:after="0"/>
              <w:rPr/>
            </w:pPr>
            <w:r>
              <w:rPr/>
              <w:t xml:space="preserve">Art. 15</w:t>
            </w:r>
          </w:p>
          <w:p>
            <w:pPr>
              <w:pStyle w:val="Titredescriptif"/>
              <w:spacing/>
              <w:rPr/>
            </w:pPr>
            <w:r>
              <w:rPr/>
              <w:t xml:space="preserve">Certification</w:t>
            </w:r>
          </w:p>
        </w:tc>
        <w:tc>
          <w:tcPr>
            <w:tcW w:type="dxa" w:w="6240"/>
            <w:tcBorders/>
          </w:tcPr>
          <w:p>
            <w:pPr>
              <w:spacing/>
              <w:rPr>
                <w:color w:val="00B050"/>
              </w:rPr>
            </w:pPr>
            <w:r>
              <w:rPr/>
              <w:t xml:space="preserve">La formation est certifiée </w:t>
            </w:r>
            <w:r>
              <w:rPr/>
              <w:t xml:space="preserve">par un CAS (certificat d’études avancées) de 12 crédits ECTS.</w:t>
            </w:r>
          </w:p>
        </w:tc>
      </w:tr>
      <w:tr>
        <w:trPr/>
        <w:tc>
          <w:tcPr>
            <w:tcW w:type="dxa" w:w="2950"/>
            <w:tcBorders/>
            <w:tcMar>
              <w:top w:w="170" w:type="dxa"/>
              <w:left w:w="0" w:type="dxa"/>
              <w:bottom w:w="170" w:type="dxa"/>
              <w:right w:w="70" w:type="dxa"/>
            </w:tcMar>
          </w:tcPr>
          <w:p>
            <w:pPr>
              <w:pStyle w:val="Titrearticle"/>
              <w:spacing w:before="0" w:after="0"/>
              <w:rPr/>
            </w:pPr>
            <w:r>
              <w:rPr/>
              <w:t xml:space="preserve">Art. 16</w:t>
            </w:r>
          </w:p>
          <w:p>
            <w:pPr>
              <w:pStyle w:val="Titredescriptif"/>
              <w:spacing/>
              <w:rPr/>
            </w:pPr>
            <w:r>
              <w:rPr>
                <w:lang w:val="fr-CH"/>
              </w:rPr>
              <w:t xml:space="preserve">Échecs</w:t>
            </w:r>
            <w:r>
              <w:rPr>
                <w:lang w:val="fr-CH"/>
              </w:rPr>
              <w:t xml:space="preserve"> et remédiations </w:t>
            </w:r>
          </w:p>
        </w:tc>
        <w:tc>
          <w:tcPr>
            <w:tcW w:type="dxa" w:w="6240"/>
            <w:tcBorders/>
          </w:tcPr>
          <w:p>
            <w:pPr>
              <w:spacing/>
              <w:rPr>
                <w:rFonts w:ascii="Calibri" w:hAnsi="Calibri"/>
                <w:szCs w:val="22"/>
                <w:lang w:val="fr-CH"/>
              </w:rPr>
            </w:pPr>
            <w:r>
              <w:rPr>
                <w:vertAlign w:val="superscript"/>
              </w:rPr>
              <w:t xml:space="preserve">1</w:t>
            </w:r>
            <w:r>
              <w:rPr>
                <w:lang w:val="fr-CH"/>
              </w:rPr>
              <w:t xml:space="preserve">En cas de non validation d’un module pratique ou théorique, le candidat peut compléter sa formation en suivant le même module l’année suivante. Il n’a droit qu’à une seule remédiation avant l’échec définitif.</w:t>
            </w:r>
          </w:p>
          <w:p>
            <w:pPr>
              <w:spacing/>
              <w:rPr>
                <w:lang w:val="fr-CH"/>
              </w:rPr>
            </w:pPr>
          </w:p>
          <w:p>
            <w:pPr>
              <w:spacing/>
              <w:rPr>
                <w:color w:val="00B050"/>
              </w:rPr>
            </w:pPr>
            <w:r>
              <w:rPr>
                <w:vertAlign w:val="superscript"/>
              </w:rPr>
              <w:t xml:space="preserve">2</w:t>
            </w:r>
            <w:r>
              <w:rPr>
                <w:lang w:val="fr-CH"/>
              </w:rPr>
              <w:t xml:space="preserve">En cas de non validation du travail écrit de fin de formation, le candidat peut présenter dans les trente jours un travail corrigé selon les directives reçues. En cas de nouvelle non validation, le candidat peut, dans les trois mois suivant la notification de l’échec, présenter un nouveau travail de fin de formation pour une ultime passation. </w:t>
            </w:r>
          </w:p>
        </w:tc>
      </w:tr>
      <w:tr>
        <w:trPr>
          <w:cantSplit/>
        </w:trPr>
        <w:tc>
          <w:tcPr>
            <w:tcW w:type="dxa" w:w="9190"/>
            <w:gridSpan w:val="2"/>
            <w:tcBorders/>
          </w:tcPr>
          <w:p>
            <w:pPr>
              <w:pStyle w:val="Titrechapitre"/>
              <w:spacing/>
              <w:rPr/>
            </w:pPr>
            <w:r>
              <w:rPr/>
              <w:t xml:space="preserve">Frais de la formation</w:t>
            </w:r>
          </w:p>
        </w:tc>
      </w:tr>
      <w:tr>
        <w:trPr/>
        <w:tc>
          <w:tcPr>
            <w:tcW w:type="dxa" w:w="2950"/>
            <w:tcBorders/>
            <w:tcMar>
              <w:top w:w="170" w:type="dxa"/>
              <w:left w:w="0" w:type="dxa"/>
              <w:bottom w:w="170" w:type="dxa"/>
              <w:right w:w="70" w:type="dxa"/>
            </w:tcMar>
          </w:tcPr>
          <w:p>
            <w:pPr>
              <w:pStyle w:val="Titrearticle"/>
              <w:spacing w:before="0" w:after="0"/>
              <w:rPr/>
            </w:pPr>
            <w:r>
              <w:rPr/>
              <w:t xml:space="preserve">Art. 1</w:t>
            </w:r>
            <w:r>
              <w:rPr/>
              <w:t xml:space="preserve">7</w:t>
            </w:r>
          </w:p>
          <w:p>
            <w:pPr>
              <w:pStyle w:val="Titredescriptif"/>
              <w:spacing/>
              <w:rPr/>
            </w:pPr>
            <w:r>
              <w:rPr/>
              <w:t xml:space="preserve">Financement</w:t>
            </w:r>
          </w:p>
        </w:tc>
        <w:tc>
          <w:tcPr>
            <w:tcW w:type="dxa" w:w="6240"/>
            <w:tcBorders/>
          </w:tcPr>
          <w:p>
            <w:pPr>
              <w:spacing/>
              <w:rPr/>
            </w:pPr>
            <w:r>
              <w:rPr>
                <w:vertAlign w:val="superscript"/>
              </w:rPr>
              <w:t xml:space="preserve">1</w:t>
            </w:r>
            <w:r>
              <w:rPr/>
              <w:t xml:space="preserve">Se basant </w:t>
            </w:r>
            <w:r>
              <w:rPr/>
              <w:t xml:space="preserve">sur le règlement concernant les taxes et émoluments dus par les étudiantes et étudiants</w:t>
            </w:r>
            <w:r>
              <w:rPr>
                <w:rStyle w:val="Appelnotedebasdep"/>
              </w:rPr>
              <w:footnoteReference w:customMarkFollows="0" w:id="4"/>
            </w:r>
            <w:r>
              <w:rPr/>
              <w:t xml:space="preserve">, les frais suivants seront facturés :</w:t>
            </w:r>
          </w:p>
          <w:p>
            <w:pPr>
              <w:numPr>
                <w:ilvl w:val="0"/>
                <w:numId w:val="17"/>
              </w:numPr>
              <w:spacing/>
              <w:ind w:left="397" w:hanging="397"/>
              <w:rPr/>
            </w:pPr>
            <w:r>
              <w:rPr/>
              <w:t xml:space="preserve">é</w:t>
            </w:r>
            <w:r>
              <w:rPr/>
              <w:t xml:space="preserve">molument perçu pour l’ouverture du dossier :</w:t>
            </w:r>
            <w:r>
              <w:rPr/>
              <w:tab/>
              <w:t xml:space="preserve"/>
            </w:r>
            <w:r>
              <w:rPr/>
              <w:t xml:space="preserve">Frs 100.-</w:t>
            </w:r>
            <w:r>
              <w:rPr/>
              <w:t xml:space="preserve"> ;</w:t>
            </w:r>
          </w:p>
          <w:p>
            <w:pPr>
              <w:numPr>
                <w:ilvl w:val="0"/>
                <w:numId w:val="17"/>
              </w:numPr>
              <w:spacing/>
              <w:ind w:left="397" w:hanging="397"/>
              <w:rPr/>
            </w:pPr>
            <w:r>
              <w:rPr/>
              <w:t xml:space="preserve">t</w:t>
            </w:r>
            <w:r>
              <w:rPr/>
              <w:t xml:space="preserve">axe d’immatriculation par semestre</w:t>
            </w:r>
            <w:r>
              <w:rPr/>
              <w:tab/>
              <w:t xml:space="preserve"/>
            </w:r>
            <w:r>
              <w:rPr/>
              <w:tab/>
              <w:t xml:space="preserve"/>
            </w:r>
            <w:r>
              <w:rPr/>
              <w:t xml:space="preserve">Frs 500.-</w:t>
            </w:r>
            <w:r>
              <w:rPr/>
              <w:t xml:space="preserve">.</w:t>
            </w:r>
          </w:p>
          <w:p>
            <w:pPr>
              <w:spacing/>
              <w:rPr/>
            </w:pPr>
            <w:r>
              <w:rPr>
                <w:vertAlign w:val="superscript"/>
              </w:rPr>
              <w:t xml:space="preserve">2</w:t>
            </w:r>
            <w:r>
              <w:rPr/>
              <w:t xml:space="preserve">Aucun frais n’est remboursé par la HEP-BEJUNE.</w:t>
            </w:r>
          </w:p>
        </w:tc>
      </w:tr>
      <w:tr>
        <w:trPr>
          <w:cantSplit/>
        </w:trPr>
        <w:tc>
          <w:tcPr>
            <w:tcW w:type="dxa" w:w="9190"/>
            <w:gridSpan w:val="2"/>
            <w:tcBorders/>
          </w:tcPr>
          <w:p>
            <w:pPr>
              <w:pStyle w:val="Titrechapitre"/>
              <w:spacing/>
              <w:rPr/>
            </w:pPr>
            <w:r>
              <w:rPr/>
              <w:t xml:space="preserve">Voie de droit</w:t>
            </w:r>
          </w:p>
        </w:tc>
      </w:tr>
      <w:tr>
        <w:trPr/>
        <w:tc>
          <w:tcPr>
            <w:tcW w:type="dxa" w:w="2950"/>
            <w:tcBorders/>
            <w:tcMar>
              <w:top w:w="170" w:type="dxa"/>
              <w:left w:w="0" w:type="dxa"/>
              <w:bottom w:w="170" w:type="dxa"/>
              <w:right w:w="70" w:type="dxa"/>
            </w:tcMar>
          </w:tcPr>
          <w:p>
            <w:pPr>
              <w:pStyle w:val="Titrearticle"/>
              <w:spacing w:before="0" w:after="0"/>
              <w:rPr/>
            </w:pPr>
            <w:r>
              <w:rPr/>
              <w:t xml:space="preserve">Art. 18</w:t>
            </w:r>
          </w:p>
          <w:p>
            <w:pPr>
              <w:pStyle w:val="Titredescriptif"/>
              <w:spacing/>
              <w:rPr/>
            </w:pPr>
            <w:r>
              <w:rPr/>
              <w:t xml:space="preserve">Voies de droit</w:t>
            </w:r>
          </w:p>
        </w:tc>
        <w:tc>
          <w:tcPr>
            <w:tcW w:type="dxa" w:w="6240"/>
            <w:tcBorders/>
          </w:tcPr>
          <w:p>
            <w:pPr>
              <w:spacing/>
              <w:rPr/>
            </w:pPr>
            <w:r>
              <w:rPr>
                <w:vertAlign w:val="superscript"/>
              </w:rPr>
              <w:t xml:space="preserve">1</w:t>
            </w:r>
            <w:r>
              <w:rPr/>
              <w:t xml:space="preserve">Les décisions relevant de l'application du présent règlement peuvent faire l’objet d’une opposition auprès du responsable de la formation dans un délai de dix jours après notification.</w:t>
            </w:r>
          </w:p>
          <w:p>
            <w:pPr>
              <w:spacing/>
              <w:rPr/>
            </w:pPr>
            <w:r>
              <w:rPr>
                <w:vertAlign w:val="superscript"/>
              </w:rPr>
              <w:t xml:space="preserve">2</w:t>
            </w:r>
            <w:r>
              <w:rPr/>
              <w:t xml:space="preserve">Les décisions prononcées sur opposition peuvent faire l’objet d’un recours auprès du </w:t>
            </w:r>
            <w:r>
              <w:rPr/>
              <w:t xml:space="preserve">Rectorat</w:t>
            </w:r>
            <w:r>
              <w:rPr/>
              <w:t xml:space="preserve"> dans un délai de dix jours après </w:t>
            </w:r>
            <w:r>
              <w:rPr/>
              <w:t xml:space="preserve">leur </w:t>
            </w:r>
            <w:r>
              <w:rPr/>
              <w:t xml:space="preserve">communication</w:t>
            </w:r>
            <w:r>
              <w:rPr/>
              <w:t xml:space="preserve">.</w:t>
            </w:r>
          </w:p>
          <w:p>
            <w:pPr>
              <w:spacing/>
              <w:rPr>
                <w:vertAlign w:val="superscript"/>
              </w:rPr>
            </w:pPr>
            <w:r>
              <w:rPr>
                <w:vertAlign w:val="superscript"/>
              </w:rPr>
              <w:t xml:space="preserve">3</w:t>
            </w:r>
            <w:r>
              <w:rPr/>
              <w:t xml:space="preserve">Les décisions rendues sur recours </w:t>
            </w:r>
            <w:r>
              <w:rPr/>
              <w:t xml:space="preserve">par le Rectorat </w:t>
            </w:r>
            <w:r>
              <w:rPr/>
              <w:t xml:space="preserve">sont sujettes à recours, conformément au Code de procédure administrative de </w:t>
            </w:r>
            <w:r>
              <w:rPr/>
              <w:t xml:space="preserve">la République</w:t>
            </w:r>
            <w:r>
              <w:rPr/>
              <w:t xml:space="preserve"> et Canton du Jura</w:t>
            </w:r>
            <w:r>
              <w:rPr>
                <w:rStyle w:val="Appelnotedebasdep"/>
              </w:rPr>
              <w:footnoteReference w:customMarkFollows="0" w:id="5"/>
            </w:r>
            <w:r>
              <w:rPr/>
              <w:t xml:space="preserve">, auprès de la </w:t>
            </w:r>
            <w:r>
              <w:rPr/>
              <w:t xml:space="preserve">Cour</w:t>
            </w:r>
            <w:r>
              <w:rPr/>
              <w:t xml:space="preserve"> administrative du Tribunal cantonal, dans les trente jours dès leur communication</w:t>
            </w:r>
            <w:r>
              <w:rPr/>
              <w:t xml:space="preserve">.</w:t>
            </w:r>
          </w:p>
        </w:tc>
      </w:tr>
    </w:tbl>
    <w:p>
      <w:pPr>
        <w:spacing/>
        <w:rPr/>
      </w:pPr>
      <w:r>
        <w:rPr>
          <w:b/>
          <w:bCs/>
        </w:rPr>
        <w:br w:type="page"/>
      </w:r>
    </w:p>
    <w:tbl>
      <w:tblPr>
        <w:tblW w:w="9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70" w:type="dxa"/>
        </w:tblCellMar>
        <w:tblLook w:val="0000" w:firstRow="0" w:lastRow="0" w:firstColumn="0" w:lastColumn="0" w:noHBand="0" w:noVBand="0"/>
      </w:tblPr>
      <w:tblGrid>
        <w:gridCol w:w="2950"/>
        <w:gridCol w:w="1130"/>
        <w:gridCol w:w="5110"/>
      </w:tblGrid>
      <w:tr>
        <w:trPr>
          <w:cantSplit/>
        </w:trPr>
        <w:tc>
          <w:tcPr>
            <w:tcW w:type="dxa" w:w="9190"/>
            <w:gridSpan w:val="3"/>
            <w:tcBorders/>
          </w:tcPr>
          <w:p>
            <w:pPr>
              <w:pStyle w:val="Titrechapitre"/>
              <w:spacing/>
              <w:rPr/>
            </w:pPr>
            <w:r>
              <w:rPr/>
              <w:t xml:space="preserve">Dispositions finales</w:t>
            </w:r>
          </w:p>
        </w:tc>
      </w:tr>
      <w:tr>
        <w:trPr/>
        <w:tc>
          <w:tcPr>
            <w:tcW w:type="dxa" w:w="2950"/>
            <w:tcBorders/>
            <w:tcMar>
              <w:top w:w="170" w:type="dxa"/>
              <w:left w:w="0" w:type="dxa"/>
              <w:bottom w:w="170" w:type="dxa"/>
              <w:right w:w="70" w:type="dxa"/>
            </w:tcMar>
          </w:tcPr>
          <w:p>
            <w:pPr>
              <w:pStyle w:val="Titrearticle"/>
              <w:spacing w:before="0" w:after="0"/>
              <w:rPr/>
            </w:pPr>
            <w:r>
              <w:rPr/>
              <w:t xml:space="preserve">Art. 1</w:t>
            </w:r>
            <w:r>
              <w:rPr/>
              <w:t xml:space="preserve">9</w:t>
            </w:r>
          </w:p>
          <w:p>
            <w:pPr>
              <w:pStyle w:val="Titredescriptif"/>
              <w:spacing/>
              <w:rPr/>
            </w:pPr>
            <w:r>
              <w:rPr/>
              <w:t xml:space="preserve">Date de l’adoption</w:t>
            </w:r>
          </w:p>
        </w:tc>
        <w:tc>
          <w:tcPr>
            <w:tcW w:type="dxa" w:w="6240"/>
            <w:gridSpan w:val="2"/>
            <w:tcBorders/>
          </w:tcPr>
          <w:p>
            <w:pPr>
              <w:spacing/>
              <w:rPr/>
            </w:pPr>
            <w:r>
              <w:rPr/>
              <w:t xml:space="preserve">Le présent règlement a été adopté par le </w:t>
            </w:r>
            <w:r>
              <w:rPr/>
              <w:t xml:space="preserve">Rectorat</w:t>
            </w:r>
            <w:r>
              <w:rPr>
                <w:color w:val="FF0000"/>
              </w:rPr>
              <w:t xml:space="preserve"> </w:t>
            </w:r>
            <w:r>
              <w:rPr/>
              <w:t xml:space="preserve">de </w:t>
            </w:r>
            <w:r>
              <w:rPr/>
              <w:t xml:space="preserve">la HEP-BEJUNE</w:t>
            </w:r>
            <w:r>
              <w:rPr/>
              <w:t xml:space="preserve"> dans sa séance du</w:t>
            </w:r>
            <w:r>
              <w:rPr/>
              <w:t xml:space="preserve"> </w:t>
            </w:r>
            <w:r>
              <w:rPr/>
              <w:t xml:space="preserve">22 juin 2015</w:t>
            </w:r>
            <w:r>
              <w:rPr/>
              <w:t xml:space="preserve">.</w:t>
            </w:r>
          </w:p>
        </w:tc>
      </w:tr>
      <w:tr>
        <w:trPr/>
        <w:tc>
          <w:tcPr>
            <w:tcW w:type="dxa" w:w="2950"/>
            <w:tcBorders/>
            <w:tcMar>
              <w:top w:w="170" w:type="dxa"/>
              <w:left w:w="0" w:type="dxa"/>
              <w:bottom w:w="170" w:type="dxa"/>
              <w:right w:w="70" w:type="dxa"/>
            </w:tcMar>
          </w:tcPr>
          <w:p>
            <w:pPr>
              <w:pStyle w:val="Titrearticle"/>
              <w:spacing w:before="0" w:after="0"/>
              <w:rPr/>
            </w:pPr>
            <w:r>
              <w:rPr/>
              <w:t xml:space="preserve">Art. 20</w:t>
            </w:r>
          </w:p>
          <w:p>
            <w:pPr>
              <w:pStyle w:val="Titredescriptif"/>
              <w:spacing/>
              <w:rPr/>
            </w:pPr>
            <w:r>
              <w:rPr/>
              <w:t xml:space="preserve">Entrée en vigueur</w:t>
            </w:r>
          </w:p>
        </w:tc>
        <w:tc>
          <w:tcPr>
            <w:tcW w:type="dxa" w:w="6240"/>
            <w:gridSpan w:val="2"/>
            <w:tcBorders/>
          </w:tcPr>
          <w:p>
            <w:pPr>
              <w:spacing/>
              <w:rPr/>
            </w:pPr>
            <w:r>
              <w:rPr/>
              <w:t xml:space="preserve">Le présent règlement entre en vigueur </w:t>
            </w:r>
            <w:r>
              <w:rPr/>
              <w:t xml:space="preserve">immédiatement.</w:t>
            </w:r>
          </w:p>
        </w:tc>
      </w:tr>
      <w:tr>
        <w:trPr>
          <w:trHeight w:val="722" w:hRule="atLeast"/>
        </w:trPr>
        <w:tc>
          <w:tcPr>
            <w:tcW w:type="dxa" w:w="9190"/>
            <w:gridSpan w:val="3"/>
            <w:tcBorders/>
            <w:vAlign w:val="bottom"/>
          </w:tcPr>
          <w:p>
            <w:pPr>
              <w:spacing/>
              <w:rPr/>
            </w:pPr>
            <w:r>
              <w:rPr/>
              <w:t xml:space="preserve">Porrentruy, le </w:t>
            </w:r>
            <w:r>
              <w:rPr/>
              <w:t xml:space="preserve">22 juin 2015</w:t>
            </w:r>
          </w:p>
        </w:tc>
      </w:tr>
      <w:tr>
        <w:trPr/>
        <w:tc>
          <w:tcPr>
            <w:tcW w:type="dxa" w:w="9190"/>
            <w:gridSpan w:val="3"/>
            <w:tcBorders/>
          </w:tcPr>
          <w:p>
            <w:pPr>
              <w:pStyle w:val="Titrearticle"/>
              <w:spacing w:before="600" w:after="0"/>
              <w:rPr/>
            </w:pPr>
            <w:r>
              <w:rPr/>
              <w:t xml:space="preserve">Au nom du </w:t>
            </w:r>
            <w:r>
              <w:rPr/>
              <w:t xml:space="preserve">Rectorat</w:t>
            </w:r>
            <w:r>
              <w:rPr/>
              <w:t xml:space="preserve"> de la HEP–BEJUNE</w:t>
            </w:r>
          </w:p>
        </w:tc>
      </w:tr>
      <w:tr>
        <w:trPr/>
        <w:tc>
          <w:tcPr>
            <w:tcW w:type="dxa" w:w="4080"/>
            <w:gridSpan w:val="2"/>
            <w:tcBorders/>
          </w:tcPr>
          <w:p>
            <w:pPr>
              <w:pStyle w:val="En-tte"/>
              <w:tabs>
                <w:tab w:val="clear" w:pos="4153"/>
                <w:tab w:val="clear" w:pos="8306"/>
              </w:tabs>
              <w:spacing w:before="1200"/>
              <w:rPr/>
            </w:pPr>
            <w:r>
              <w:rPr/>
              <w:t xml:space="preserve">Richard-Emmanuel Eastes</w:t>
            </w:r>
          </w:p>
          <w:p>
            <w:pPr>
              <w:spacing/>
              <w:rPr/>
            </w:pPr>
            <w:r>
              <w:rPr/>
              <w:t xml:space="preserve">Recteur</w:t>
            </w:r>
          </w:p>
        </w:tc>
        <w:tc>
          <w:tcPr>
            <w:tcW w:type="dxa" w:w="5110"/>
            <w:tcBorders/>
          </w:tcPr>
          <w:p>
            <w:pPr>
              <w:pStyle w:val="En-tte"/>
              <w:tabs>
                <w:tab w:val="clear" w:pos="4153"/>
                <w:tab w:val="clear" w:pos="8306"/>
              </w:tabs>
              <w:spacing w:before="1200"/>
              <w:rPr/>
            </w:pPr>
            <w:r>
              <w:rPr/>
              <w:t xml:space="preserve">Fred-Henri Schnegg</w:t>
            </w:r>
          </w:p>
          <w:p>
            <w:pPr>
              <w:spacing/>
              <w:rPr/>
            </w:pPr>
            <w:r>
              <w:rPr/>
              <w:t xml:space="preserve">Vice-recteur des formations</w:t>
            </w:r>
          </w:p>
        </w:tc>
      </w:tr>
    </w:tbl>
    <w:p>
      <w:pPr>
        <w:spacing/>
        <w:rPr/>
      </w:pPr>
    </w:p>
    <w:sectPr>
      <w:headerReference w:type="default" r:id="rId7"/>
      <w:type w:val="continuous"/>
      <w:pgSz w:w="11906" w:h="16838"/>
      <w:pgMar w:top="1701" w:right="1418" w:bottom="1418" w:left="1701" w:header="720" w:footer="709"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43"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AFF" w:usb1="C0007843" w:usb2="00000009" w:usb3="00000000" w:csb0="000001FF" w:csb1="00000000"/>
  </w:font>
  <w:font w:name="Calibri">
    <w:charset w:val="0"/>
    <w:family w:val="swiss"/>
    <w:pitch w:val="variable"/>
    <w:sig w:usb0="E00002FF" w:usb1="4000ACFF" w:usb2="00000001" w:usb3="00000000" w:csb0="0000019F" w:csb1="00000000"/>
  </w:font>
  <w:font w:name="Segoe UI">
    <w:charset w:val="0"/>
    <w:family w:val="swiss"/>
    <w:pitch w:val="variable"/>
    <w:sig w:usb0="E4002EFF" w:usb1="C000E47F" w:usb2="00000009" w:usb3="00000000" w:csb0="000001FF" w:csb1="00000000"/>
  </w:font>
  <w:font w:name="HelveticaNeue">
    <w:charset w:val="0"/>
    <w:family w:val="swiss"/>
    <w:pitch w:val="default"/>
    <w:sig w:usb0="00000003" w:usb1="00000000" w:usb2="00000000" w:usb3="00000000" w:csb0="00000001" w:csb1="00000000"/>
  </w:font>
  <w:font w:name="Calibri Light">
    <w:charset w:val="0"/>
    <w:family w:val="swiss"/>
    <w:pitch w:val="variable"/>
    <w:sig w:usb0="A00002EF" w:usb1="4000207B" w:usb2="00000000" w:usb3="00000000" w:csb0="0000019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Pieddepage"/>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Pieddepage"/>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tabs>
        <w:tab w:val="center" w:pos="4253"/>
      </w:tabs>
      <w:spacing/>
      <w:rPr/>
    </w:pPr>
    <w:r>
      <w:rPr>
        <w:rStyle w:val="Numrodepage"/>
        <w:noProof/>
        <w:sz w:val="16"/>
        <w:szCs w:val="16"/>
      </w:rPr>
      <w:t xml:space="preserve">P1.2.2-2584 / 22.06.2015</w:t>
    </w:r>
    <w:r>
      <w:rPr>
        <w:rStyle w:val="Numrodepage"/>
        <w:noProof/>
        <w:sz w:val="16"/>
        <w:szCs w:val="16"/>
      </w:rPr>
      <w:tab/>
      <w:t xml:space="preserve"/>
    </w:r>
    <w:r>
      <w:rPr>
        <w:rStyle w:val="Numrodepage"/>
        <w:noProof/>
        <w:sz w:val="16"/>
        <w:szCs w:val="16"/>
      </w:rPr>
      <w:fldChar w:fldCharType="begin"/>
    </w:r>
    <w:r>
      <w:rPr>
        <w:rStyle w:val="Numrodepage"/>
        <w:noProof/>
        <w:sz w:val="16"/>
        <w:szCs w:val="16"/>
      </w:rPr>
      <w:instrText xml:space="preserve">PAGE</w:instrText>
    </w:r>
    <w:r>
      <w:rPr>
        <w:rStyle w:val="Numrodepage"/>
        <w:noProof/>
        <w:sz w:val="16"/>
        <w:szCs w:val="16"/>
      </w:rPr>
      <w:fldChar w:fldCharType="separate"/>
    </w:r>
    <w:r>
      <w:rPr>
        <w:rStyle w:val="Numrodepage"/>
        <w:noProof/>
        <w:sz w:val="16"/>
        <w:szCs w:val="16"/>
      </w:rPr>
      <w:t xml:space="preserve">5</w:t>
    </w:r>
    <w:r>
      <w:rPr>
        <w:rStyle w:val="Numrodepage"/>
        <w:noProof/>
        <w:sz w:val="16"/>
        <w:szCs w:val="16"/>
      </w:rPr>
      <w:fldChar w:fldCharType="end"/>
    </w:r>
    <w:r>
      <w:rPr>
        <w:rStyle w:val="Numrodepage"/>
        <w:noProof/>
        <w:sz w:val="16"/>
        <w:szCs w:val="16"/>
      </w:rPr>
      <w:t xml:space="preserve"> / </w:t>
    </w:r>
    <w:r>
      <w:rPr>
        <w:rStyle w:val="Numrodepage"/>
        <w:noProof/>
        <w:sz w:val="16"/>
        <w:szCs w:val="16"/>
      </w:rPr>
      <w:fldChar w:fldCharType="begin"/>
    </w:r>
    <w:r>
      <w:rPr>
        <w:rStyle w:val="Numrodepage"/>
        <w:noProof/>
        <w:sz w:val="16"/>
        <w:szCs w:val="16"/>
      </w:rPr>
      <w:instrText xml:space="preserve">NUMPAGES</w:instrText>
    </w:r>
    <w:r>
      <w:rPr>
        <w:rStyle w:val="Numrodepage"/>
        <w:noProof/>
        <w:sz w:val="16"/>
        <w:szCs w:val="16"/>
      </w:rPr>
      <w:fldChar w:fldCharType="separate"/>
    </w:r>
    <w:r>
      <w:rPr>
        <w:rStyle w:val="Numrodepage"/>
        <w:noProof/>
        <w:sz w:val="16"/>
        <w:szCs w:val="16"/>
      </w:rPr>
      <w:t xml:space="preserve">5</w:t>
    </w:r>
    <w:r>
      <w:rPr>
        <w:rStyle w:val="Numrodepage"/>
        <w:noProof/>
        <w:sz w:val="16"/>
        <w:szCs w:val="16"/>
      </w:rPr>
      <w:fldChar w:fldCharType="end"/>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footnote w:type="separator" w:id="-1">
    <w:p>
      <w:pPr>
        <w:spacing/>
        <w:rPr/>
      </w:pPr>
      <w:r>
        <w:rPr/>
        <w:separator/>
        <w:t xml:space="preserve"/>
      </w:r>
    </w:p>
  </w:footnote>
  <w:footnote w:type="continuationSeparator" w:id="0">
    <w:p>
      <w:pPr>
        <w:spacing/>
        <w:rPr/>
      </w:pPr>
      <w:r>
        <w:rPr/>
        <w:continuationSeparator/>
        <w:t xml:space="preserve"/>
      </w:r>
    </w:p>
  </w:footnote>
  <w:footnote w:id="1">
    <w:p>
      <w:pPr>
        <w:pStyle w:val="Notedebasdepage"/>
        <w:spacing/>
        <w:rPr>
          <w:lang w:val="fr-CH"/>
        </w:rPr>
      </w:pPr>
      <w:r>
        <w:rPr>
          <w:rStyle w:val="Appelnotedebasdep"/>
        </w:rPr>
        <w:footnoteRef/>
      </w:r>
      <w:r>
        <w:rPr/>
        <w:t xml:space="preserve"> R.11.34</w:t>
      </w:r>
    </w:p>
  </w:footnote>
  <w:footnote w:id="2">
    <w:p>
      <w:pPr>
        <w:pStyle w:val="Notedebasdepage"/>
        <w:spacing/>
        <w:rPr>
          <w:lang w:val="fr-CH"/>
        </w:rPr>
      </w:pPr>
      <w:r>
        <w:rPr>
          <w:rStyle w:val="Appelnotedebasdep"/>
        </w:rPr>
        <w:footnoteRef/>
      </w:r>
      <w:r>
        <w:rPr/>
        <w:t xml:space="preserve"> R.11.8</w:t>
      </w:r>
    </w:p>
  </w:footnote>
  <w:footnote w:id="3">
    <w:p>
      <w:pPr>
        <w:pStyle w:val="Notedebasdepage"/>
        <w:spacing/>
        <w:rPr>
          <w:lang w:val="fr-CH"/>
        </w:rPr>
      </w:pPr>
      <w:r>
        <w:rPr>
          <w:rStyle w:val="Appelnotedebasdep"/>
        </w:rPr>
        <w:footnoteRef/>
      </w:r>
      <w:r>
        <w:rPr/>
        <w:t xml:space="preserve"> </w:t>
      </w:r>
      <w:r>
        <w:rPr/>
        <w:t xml:space="preserve">ECTS : système européen de transfert et cumul des crédits. Infos disponibles sur www.crus.ch</w:t>
      </w:r>
    </w:p>
  </w:footnote>
  <w:footnote w:id="4">
    <w:p>
      <w:pPr>
        <w:pStyle w:val="Notedebasdepage"/>
        <w:spacing/>
        <w:rPr>
          <w:lang w:val="fr-CH"/>
        </w:rPr>
      </w:pPr>
      <w:r>
        <w:rPr>
          <w:rStyle w:val="Appelnotedebasdep"/>
        </w:rPr>
        <w:footnoteRef/>
      </w:r>
      <w:r>
        <w:rPr/>
        <w:t xml:space="preserve"> R.11.12.1</w:t>
      </w:r>
    </w:p>
  </w:footnote>
  <w:footnote w:id="5">
    <w:p>
      <w:pPr>
        <w:pStyle w:val="Notedebasdepage"/>
        <w:spacing/>
        <w:rPr>
          <w:lang w:val="fr-CH"/>
        </w:rPr>
      </w:pPr>
      <w:r>
        <w:rPr>
          <w:rStyle w:val="Appelnotedebasdep"/>
        </w:rPr>
        <w:footnoteRef/>
      </w:r>
      <w:r>
        <w:rPr/>
        <w:t xml:space="preserve"> RSJU 175.1</w:t>
      </w:r>
    </w:p>
  </w:footnote>
</w:footnote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En-tte"/>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En-tte"/>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W w:w="8640" w:type="dxa"/>
      <w:tblInd w:w="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0" w:type="dxa"/>
        <w:right w:w="70" w:type="dxa"/>
      </w:tblCellMar>
      <w:tblLook w:val="0000" w:firstRow="0" w:lastRow="0" w:firstColumn="0" w:lastColumn="0" w:noHBand="0" w:noVBand="0"/>
    </w:tblPr>
    <w:tblGrid>
      <w:gridCol w:w="5760"/>
      <w:gridCol w:w="2880"/>
    </w:tblGrid>
    <w:tr>
      <w:trPr>
        <w:cantSplit/>
        <w:trHeight w:val="964" w:hRule="exact"/>
      </w:trPr>
      <w:tc>
        <w:tcPr>
          <w:tcW w:type="dxa" w:w="5760"/>
          <w:tcBorders/>
          <w:noWrap/>
          <w:vAlign w:val="bottom"/>
        </w:tcPr>
        <w:p>
          <w:pPr>
            <w:pStyle w:val="EntteHEP"/>
            <w:spacing w:after="120"/>
            <w:rPr/>
          </w:pPr>
          <w:r>
            <w:rPr/>
            <w:t xml:space="preserve">Haute Ecole Pédagogique </w:t>
          </w:r>
          <w:r>
            <w:rPr>
              <w:b w:val="0"/>
              <w:bCs/>
            </w:rPr>
            <w:t xml:space="preserve">– BEJUNE</w:t>
          </w:r>
        </w:p>
      </w:tc>
      <w:tc>
        <w:tcPr>
          <w:tcW w:type="dxa" w:w="2880"/>
          <w:tcBorders/>
        </w:tcPr>
        <w:p>
          <w:pPr>
            <w:pStyle w:val="Rfrence"/>
            <w:widowControl w:val="true"/>
            <w:spacing w:line="240" w:lineRule="auto"/>
            <w:ind w:left="-68" w:firstLine="0"/>
            <w:rPr/>
          </w:pPr>
          <w:r>
            <w:rPr>
              <w:noProof/>
              <w:lang w:val="fr-CH" w:eastAsia="fr-CH"/>
            </w:rPr>
            <w:drawing>
              <wp:inline>
                <wp:extent cx="1250950" cy="603250"/>
                <wp:effectExtent xmlns:wp="http://schemas.openxmlformats.org/drawingml/2006/wordprocessingDrawing" l="0" t="0" r="0" b="0"/>
                <wp:docPr id="1" descr="LogoHEPBleu" name="Image 1"/>
                <wp:cNvGraphicFramePr>
                  <a:graphicFrameLocks noChangeAspect="1"/>
                </wp:cNvGraphicFramePr>
                <a:graphic>
                  <a:graphicData uri="http://schemas.openxmlformats.org/drawingml/2006/picture">
                    <pic:pic>
                      <pic:nvPicPr>
                        <pic:cNvPr id="0" name=""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603250"/>
                        </a:xfrm>
                        <a:prstGeom prst="rect">
                          <a:avLst/>
                        </a:prstGeom>
                      </pic:spPr>
                    </pic:pic>
                  </a:graphicData>
                </a:graphic>
              </wp:inline>
            </w:drawing>
          </w:r>
        </w:p>
      </w:tc>
    </w:tr>
  </w:tbl>
  <w:p>
    <w:pPr>
      <w:pStyle w:val="En-tte"/>
      <w:spacing/>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En-tte"/>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63F"/>
    <w:lvl w:ilvl="0">
      <w:start w:val="1"/>
      <w:numFmt w:val="lowerLetter"/>
      <w:suff w:val="tab"/>
      <w:lvlText w:val="%1)"/>
      <w:pPr>
        <w:spacing/>
        <w:ind w:left="720" w:hanging="360"/>
      </w:pPr>
      <w:rPr>
        <w:b w:val="0"/>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
    <w:nsid w:val="0B8D531E"/>
    <w:lvl w:ilvl="0">
      <w:start w:val="1"/>
      <w:numFmt w:val="lowerLetter"/>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2">
    <w:nsid w:val="0CF701B2"/>
    <w:lvl w:ilvl="0">
      <w:start w:val="1"/>
      <w:numFmt w:val="upperRoman"/>
      <w:pStyle w:val="Titesoussouschapitre"/>
      <w:suff w:val="tab"/>
      <w:lvlText w:val="%1"/>
      <w:pPr>
        <w:tabs>
          <w:tab w:val="num" w:pos="720"/>
        </w:tabs>
        <w:spacing/>
        <w:ind w:left="432" w:hanging="432"/>
      </w:pPr>
      <w:rPr>
        <w:rFonts w:hint="default"/>
      </w:rPr>
    </w:lvl>
    <w:lvl w:ilvl="1">
      <w:start w:val="1"/>
      <w:numFmt w:val="upperLetter"/>
      <w:suff w:val="tab"/>
      <w:lvlText w:val="%2"/>
      <w:pPr>
        <w:tabs>
          <w:tab w:val="num" w:pos="720"/>
        </w:tabs>
        <w:spacing/>
        <w:ind w:left="567" w:firstLine="153"/>
      </w:pPr>
      <w:rPr>
        <w:rFonts w:hint="default"/>
      </w:rPr>
    </w:lvl>
    <w:lvl w:ilvl="2">
      <w:start w:val="1"/>
      <w:numFmt w:val="decimal"/>
      <w:suff w:val="tab"/>
      <w:lvlText w:val="%1.%2.%3"/>
      <w:pPr>
        <w:tabs>
          <w:tab w:val="num" w:pos="720"/>
        </w:tabs>
        <w:spacing/>
        <w:ind w:left="720" w:firstLine="0"/>
      </w:pPr>
      <w:rPr>
        <w:rFonts w:hint="default"/>
      </w:rPr>
    </w:lvl>
    <w:lvl w:ilvl="3">
      <w:start w:val="1"/>
      <w:numFmt w:val="decimal"/>
      <w:suff w:val="tab"/>
      <w:lvlText w:val="%1.%2.%3.%4"/>
      <w:pPr>
        <w:tabs>
          <w:tab w:val="num" w:pos="864"/>
        </w:tabs>
        <w:spacing/>
        <w:ind w:left="864" w:hanging="864"/>
      </w:pPr>
      <w:rPr>
        <w:rFonts w:hint="default"/>
      </w:rPr>
    </w:lvl>
    <w:lvl w:ilvl="4">
      <w:start w:val="1"/>
      <w:numFmt w:val="decimal"/>
      <w:suff w:val="tab"/>
      <w:lvlText w:val="%1.%2.%3.%4.%5"/>
      <w:pPr>
        <w:tabs>
          <w:tab w:val="num" w:pos="1008"/>
        </w:tabs>
        <w:spacing/>
        <w:ind w:left="1008" w:hanging="1008"/>
      </w:pPr>
      <w:rPr>
        <w:rFonts w:hint="default"/>
      </w:rPr>
    </w:lvl>
    <w:lvl w:ilvl="5">
      <w:start w:val="1"/>
      <w:numFmt w:val="decimal"/>
      <w:suff w:val="tab"/>
      <w:lvlText w:val="%1.%2.%3.%4.%5.%6"/>
      <w:pPr>
        <w:tabs>
          <w:tab w:val="num" w:pos="1152"/>
        </w:tabs>
        <w:spacing/>
        <w:ind w:left="1152" w:hanging="1152"/>
      </w:pPr>
      <w:rPr>
        <w:rFonts w:hint="default"/>
      </w:rPr>
    </w:lvl>
    <w:lvl w:ilvl="6">
      <w:start w:val="1"/>
      <w:numFmt w:val="decimal"/>
      <w:suff w:val="tab"/>
      <w:lvlText w:val="%1.%2.%3.%4.%5.%6.%7"/>
      <w:pPr>
        <w:tabs>
          <w:tab w:val="num" w:pos="1296"/>
        </w:tabs>
        <w:spacing/>
        <w:ind w:left="1296" w:hanging="1296"/>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584"/>
        </w:tabs>
        <w:spacing/>
        <w:ind w:left="1584" w:hanging="1584"/>
      </w:pPr>
      <w:rPr>
        <w:rFonts w:hint="default"/>
      </w:rPr>
    </w:lvl>
  </w:abstractNum>
  <w:abstractNum w:abstractNumId="3">
    <w:nsid w:val="20190D10"/>
    <w:lvl w:ilvl="0">
      <w:start w:val="1"/>
      <w:numFmt w:val="upperRoman"/>
      <w:suff w:val="tab"/>
      <w:lvlText w:val="%1"/>
      <w:pPr>
        <w:tabs>
          <w:tab w:val="num" w:pos="-720"/>
        </w:tabs>
        <w:spacing/>
        <w:ind w:left="0" w:hanging="720"/>
      </w:pPr>
      <w:rPr>
        <w:rFonts w:hint="default"/>
      </w:rPr>
    </w:lvl>
    <w:lvl w:ilvl="1">
      <w:start w:val="1"/>
      <w:numFmt w:val="upperLetter"/>
      <w:suff w:val="tab"/>
      <w:lvlText w:val="%2"/>
      <w:pPr>
        <w:tabs>
          <w:tab w:val="num" w:pos="-864"/>
        </w:tabs>
        <w:spacing/>
        <w:ind w:left="-873" w:firstLine="153"/>
      </w:pPr>
      <w:rPr>
        <w:rFonts w:hint="default"/>
      </w:rPr>
    </w:lvl>
    <w:lvl w:ilvl="2">
      <w:start w:val="1"/>
      <w:numFmt w:val="decimal"/>
      <w:pStyle w:val="Titre3"/>
      <w:suff w:val="tab"/>
      <w:lvlText w:val="%2.%3"/>
      <w:pPr>
        <w:tabs>
          <w:tab w:val="num" w:pos="720"/>
        </w:tabs>
        <w:spacing/>
        <w:ind w:left="567" w:firstLine="153"/>
      </w:pPr>
      <w:rPr>
        <w:rFonts w:hint="default"/>
      </w:rPr>
    </w:lvl>
    <w:lvl w:ilvl="3">
      <w:start w:val="1"/>
      <w:numFmt w:val="decimal"/>
      <w:pStyle w:val="Titre4"/>
      <w:suff w:val="tab"/>
      <w:lvlText w:val="%1.%2.%3.%4"/>
      <w:pPr>
        <w:tabs>
          <w:tab w:val="num" w:pos="-576"/>
        </w:tabs>
        <w:spacing/>
        <w:ind w:left="-576" w:hanging="864"/>
      </w:pPr>
      <w:rPr>
        <w:rFonts w:hint="default"/>
      </w:rPr>
    </w:lvl>
    <w:lvl w:ilvl="4">
      <w:start w:val="1"/>
      <w:numFmt w:val="decimal"/>
      <w:pStyle w:val="Titre5"/>
      <w:suff w:val="tab"/>
      <w:lvlText w:val="%1.%2.%3.%4.%5"/>
      <w:pPr>
        <w:tabs>
          <w:tab w:val="num" w:pos="-432"/>
        </w:tabs>
        <w:spacing/>
        <w:ind w:left="-432" w:hanging="1008"/>
      </w:pPr>
      <w:rPr>
        <w:rFonts w:hint="default"/>
      </w:rPr>
    </w:lvl>
    <w:lvl w:ilvl="5">
      <w:start w:val="1"/>
      <w:numFmt w:val="decimal"/>
      <w:pStyle w:val="Titre6"/>
      <w:suff w:val="tab"/>
      <w:lvlText w:val="%1.%2.%3.%4.%5.%6"/>
      <w:pPr>
        <w:tabs>
          <w:tab w:val="num" w:pos="-288"/>
        </w:tabs>
        <w:spacing/>
        <w:ind w:left="-288" w:hanging="1152"/>
      </w:pPr>
      <w:rPr>
        <w:rFonts w:hint="default"/>
      </w:rPr>
    </w:lvl>
    <w:lvl w:ilvl="6">
      <w:start w:val="1"/>
      <w:numFmt w:val="decimal"/>
      <w:pStyle w:val="Titre7"/>
      <w:suff w:val="tab"/>
      <w:lvlText w:val="%1.%2.%3.%4.%5.%6.%7"/>
      <w:pPr>
        <w:tabs>
          <w:tab w:val="num" w:pos="-144"/>
        </w:tabs>
        <w:spacing/>
        <w:ind w:left="-144" w:hanging="1296"/>
      </w:pPr>
      <w:rPr>
        <w:rFonts w:hint="default"/>
      </w:rPr>
    </w:lvl>
    <w:lvl w:ilvl="7">
      <w:start w:val="1"/>
      <w:numFmt w:val="decimal"/>
      <w:pStyle w:val="Titre8"/>
      <w:suff w:val="tab"/>
      <w:lvlText w:val="%1.%2.%3.%4.%5.%6.%7.%8"/>
      <w:pPr>
        <w:tabs>
          <w:tab w:val="num" w:pos="0"/>
        </w:tabs>
        <w:spacing/>
        <w:ind w:left="0" w:hanging="1440"/>
      </w:pPr>
      <w:rPr>
        <w:rFonts w:hint="default"/>
      </w:rPr>
    </w:lvl>
    <w:lvl w:ilvl="8">
      <w:start w:val="1"/>
      <w:numFmt w:val="decimal"/>
      <w:pStyle w:val="Titre9"/>
      <w:suff w:val="tab"/>
      <w:lvlText w:val="%1.%2.%3.%4.%5.%6.%7.%8.%9"/>
      <w:pPr>
        <w:tabs>
          <w:tab w:val="num" w:pos="144"/>
        </w:tabs>
        <w:spacing/>
        <w:ind w:left="144" w:hanging="1584"/>
      </w:pPr>
      <w:rPr>
        <w:rFonts w:hint="default"/>
      </w:rPr>
    </w:lvl>
  </w:abstractNum>
  <w:abstractNum w:abstractNumId="4">
    <w:nsid w:val="21C66DAE"/>
    <w:lvl w:ilvl="0">
      <w:start w:val="1"/>
      <w:numFmt w:val="upperRoman"/>
      <w:pStyle w:val="Titresoussouschapitre"/>
      <w:suff w:val="tab"/>
      <w:lvlText w:val="%1"/>
      <w:pPr>
        <w:tabs>
          <w:tab w:val="num" w:pos="720"/>
        </w:tabs>
        <w:spacing/>
        <w:ind w:left="432" w:hanging="432"/>
      </w:pPr>
      <w:rPr>
        <w:rFonts w:hint="default"/>
      </w:rPr>
    </w:lvl>
    <w:lvl w:ilvl="1">
      <w:start w:val="1"/>
      <w:numFmt w:val="upperLetter"/>
      <w:pStyle w:val="Titresouschapitre"/>
      <w:suff w:val="tab"/>
      <w:lvlText w:val="%2"/>
      <w:pPr>
        <w:tabs>
          <w:tab w:val="num" w:pos="720"/>
        </w:tabs>
        <w:spacing/>
        <w:ind w:left="567" w:firstLine="153"/>
      </w:pPr>
      <w:rPr>
        <w:rFonts w:hint="default"/>
      </w:rPr>
    </w:lvl>
    <w:lvl w:ilvl="2">
      <w:start w:val="1"/>
      <w:numFmt w:val="decimal"/>
      <w:suff w:val="tab"/>
      <w:lvlText w:val="%2.%3"/>
      <w:pPr>
        <w:tabs>
          <w:tab w:val="num" w:pos="720"/>
        </w:tabs>
        <w:spacing/>
        <w:ind w:left="567" w:firstLine="153"/>
      </w:pPr>
      <w:rPr>
        <w:rFonts w:hint="default"/>
      </w:rPr>
    </w:lvl>
    <w:lvl w:ilvl="3">
      <w:start w:val="1"/>
      <w:numFmt w:val="decimal"/>
      <w:suff w:val="tab"/>
      <w:lvlText w:val="%1.%2.%3.%4"/>
      <w:pPr>
        <w:tabs>
          <w:tab w:val="num" w:pos="864"/>
        </w:tabs>
        <w:spacing/>
        <w:ind w:left="864" w:hanging="864"/>
      </w:pPr>
      <w:rPr>
        <w:rFonts w:hint="default"/>
      </w:rPr>
    </w:lvl>
    <w:lvl w:ilvl="4">
      <w:start w:val="1"/>
      <w:numFmt w:val="decimal"/>
      <w:suff w:val="tab"/>
      <w:lvlText w:val="%1.%2.%3.%4.%5"/>
      <w:pPr>
        <w:tabs>
          <w:tab w:val="num" w:pos="1008"/>
        </w:tabs>
        <w:spacing/>
        <w:ind w:left="1008" w:hanging="1008"/>
      </w:pPr>
      <w:rPr>
        <w:rFonts w:hint="default"/>
      </w:rPr>
    </w:lvl>
    <w:lvl w:ilvl="5">
      <w:start w:val="1"/>
      <w:numFmt w:val="decimal"/>
      <w:suff w:val="tab"/>
      <w:lvlText w:val="%1.%2.%3.%4.%5.%6"/>
      <w:pPr>
        <w:tabs>
          <w:tab w:val="num" w:pos="1152"/>
        </w:tabs>
        <w:spacing/>
        <w:ind w:left="1152" w:hanging="1152"/>
      </w:pPr>
      <w:rPr>
        <w:rFonts w:hint="default"/>
      </w:rPr>
    </w:lvl>
    <w:lvl w:ilvl="6">
      <w:start w:val="1"/>
      <w:numFmt w:val="decimal"/>
      <w:suff w:val="tab"/>
      <w:lvlText w:val="%1.%2.%3.%4.%5.%6.%7"/>
      <w:pPr>
        <w:tabs>
          <w:tab w:val="num" w:pos="1296"/>
        </w:tabs>
        <w:spacing/>
        <w:ind w:left="1296" w:hanging="1296"/>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584"/>
        </w:tabs>
        <w:spacing/>
        <w:ind w:left="1584" w:hanging="1584"/>
      </w:pPr>
      <w:rPr>
        <w:rFonts w:hint="default"/>
      </w:rPr>
    </w:lvl>
  </w:abstractNum>
  <w:abstractNum w:abstractNumId="5">
    <w:nsid w:val="24160C78"/>
    <w:lvl w:ilvl="0">
      <w:start w:val="1"/>
      <w:numFmt w:val="lowerLetter"/>
      <w:suff w:val="tab"/>
      <w:lvlText w:val="%1)"/>
      <w:pPr>
        <w:spacing/>
        <w:ind w:left="780" w:hanging="360"/>
      </w:pPr>
      <w:rPr>
        <w:b w:val="0"/>
      </w:rPr>
    </w:lvl>
    <w:lvl w:ilvl="1">
      <w:start w:val="1"/>
      <w:numFmt w:val="lowerLetter"/>
      <w:suff w:val="tab"/>
      <w:lvlText w:val="%2."/>
      <w:pPr>
        <w:spacing/>
        <w:ind w:left="1500" w:hanging="360"/>
      </w:pPr>
      <w:rPr/>
    </w:lvl>
    <w:lvl w:ilvl="2">
      <w:start w:val="1"/>
      <w:numFmt w:val="lowerRoman"/>
      <w:suff w:val="tab"/>
      <w:lvlText w:val="%3."/>
      <w:lvlJc w:val="right"/>
      <w:pPr>
        <w:spacing/>
        <w:ind w:left="2220" w:hanging="180"/>
      </w:pPr>
      <w:rPr/>
    </w:lvl>
    <w:lvl w:ilvl="3">
      <w:start w:val="1"/>
      <w:numFmt w:val="decimal"/>
      <w:suff w:val="tab"/>
      <w:lvlText w:val="%4."/>
      <w:pPr>
        <w:spacing/>
        <w:ind w:left="2940" w:hanging="360"/>
      </w:pPr>
      <w:rPr/>
    </w:lvl>
    <w:lvl w:ilvl="4">
      <w:start w:val="1"/>
      <w:numFmt w:val="lowerLetter"/>
      <w:suff w:val="tab"/>
      <w:lvlText w:val="%5."/>
      <w:pPr>
        <w:spacing/>
        <w:ind w:left="3660" w:hanging="360"/>
      </w:pPr>
      <w:rPr/>
    </w:lvl>
    <w:lvl w:ilvl="5">
      <w:start w:val="1"/>
      <w:numFmt w:val="lowerRoman"/>
      <w:suff w:val="tab"/>
      <w:lvlText w:val="%6."/>
      <w:lvlJc w:val="right"/>
      <w:pPr>
        <w:spacing/>
        <w:ind w:left="4380" w:hanging="180"/>
      </w:pPr>
      <w:rPr/>
    </w:lvl>
    <w:lvl w:ilvl="6">
      <w:start w:val="1"/>
      <w:numFmt w:val="decimal"/>
      <w:suff w:val="tab"/>
      <w:lvlText w:val="%7."/>
      <w:pPr>
        <w:spacing/>
        <w:ind w:left="5100" w:hanging="360"/>
      </w:pPr>
      <w:rPr/>
    </w:lvl>
    <w:lvl w:ilvl="7">
      <w:start w:val="1"/>
      <w:numFmt w:val="lowerLetter"/>
      <w:suff w:val="tab"/>
      <w:lvlText w:val="%8."/>
      <w:pPr>
        <w:spacing/>
        <w:ind w:left="5820" w:hanging="360"/>
      </w:pPr>
      <w:rPr/>
    </w:lvl>
    <w:lvl w:ilvl="8">
      <w:start w:val="1"/>
      <w:numFmt w:val="lowerRoman"/>
      <w:suff w:val="tab"/>
      <w:lvlText w:val="%9."/>
      <w:lvlJc w:val="right"/>
      <w:pPr>
        <w:spacing/>
        <w:ind w:left="6540" w:hanging="180"/>
      </w:pPr>
      <w:rPr/>
    </w:lvl>
  </w:abstractNum>
  <w:abstractNum w:abstractNumId="6">
    <w:nsid w:val="272B6118"/>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7">
    <w:nsid w:val="2A9675F3"/>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8">
    <w:nsid w:val="3F346599"/>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9">
    <w:nsid w:val="4AA13EEB"/>
    <w:lvl w:ilvl="0">
      <w:start w:val="1"/>
      <w:numFmt w:val="lowerLetter"/>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0">
    <w:nsid w:val="5E536625"/>
    <w:lvl w:ilvl="0">
      <w:start w:val="1"/>
      <w:numFmt w:val="lowerLetter"/>
      <w:pStyle w:val="LettreAllinea"/>
      <w:suff w:val="tab"/>
      <w:lvlText w:val="%1)"/>
      <w:pPr>
        <w:spacing/>
        <w:ind w:left="720" w:hanging="360"/>
      </w:pPr>
      <w:rPr>
        <w:rFonts w:hint="default"/>
        <w:sz w:val="20"/>
        <w:vertAlign w:val="baseline"/>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11">
    <w:nsid w:val="5F522416"/>
    <w:lvl w:ilvl="0">
      <w:start w:val="1"/>
      <w:numFmt w:val="upperRoman"/>
      <w:pStyle w:val="Titrechapitre"/>
      <w:suff w:val="tab"/>
      <w:lvlText w:val="%1"/>
      <w:pPr>
        <w:tabs>
          <w:tab w:val="num" w:pos="680"/>
        </w:tabs>
        <w:spacing/>
        <w:ind w:left="680" w:hanging="680"/>
      </w:pPr>
      <w:rPr>
        <w:rFonts w:hint="default"/>
      </w:rPr>
    </w:lvl>
    <w:lvl w:ilvl="1">
      <w:start w:val="1"/>
      <w:numFmt w:val="decimal"/>
      <w:suff w:val="tab"/>
      <w:lvlText w:val="%1.%2"/>
      <w:pPr>
        <w:tabs>
          <w:tab w:val="num" w:pos="576"/>
        </w:tabs>
        <w:spacing/>
        <w:ind w:left="576" w:hanging="576"/>
      </w:pPr>
      <w:rPr>
        <w:rFonts w:hint="default"/>
      </w:rPr>
    </w:lvl>
    <w:lvl w:ilvl="2">
      <w:start w:val="1"/>
      <w:numFmt w:val="decimal"/>
      <w:suff w:val="tab"/>
      <w:lvlText w:val="%1.%2.%3"/>
      <w:pPr>
        <w:tabs>
          <w:tab w:val="num" w:pos="720"/>
        </w:tabs>
        <w:spacing/>
        <w:ind w:left="720" w:hanging="720"/>
      </w:pPr>
      <w:rPr>
        <w:rFonts w:hint="default"/>
      </w:rPr>
    </w:lvl>
    <w:lvl w:ilvl="3">
      <w:start w:val="1"/>
      <w:numFmt w:val="lowerLetter"/>
      <w:suff w:val="tab"/>
      <w:lvlText w:val="%4."/>
      <w:pPr>
        <w:tabs>
          <w:tab w:val="num" w:pos="567"/>
        </w:tabs>
        <w:spacing/>
        <w:ind w:left="567" w:hanging="283"/>
      </w:pPr>
      <w:rPr>
        <w:rFonts w:hint="default"/>
      </w:rPr>
    </w:lvl>
    <w:lvl w:ilvl="4">
      <w:start w:val="1"/>
      <w:numFmt w:val="decimal"/>
      <w:suff w:val="tab"/>
      <w:lvlText w:val="%1.%2.%3.%4.%5"/>
      <w:pPr>
        <w:tabs>
          <w:tab w:val="num" w:pos="1008"/>
        </w:tabs>
        <w:spacing/>
        <w:ind w:left="1008" w:hanging="1008"/>
      </w:pPr>
      <w:rPr>
        <w:rFonts w:hint="default"/>
      </w:rPr>
    </w:lvl>
    <w:lvl w:ilvl="5">
      <w:start w:val="1"/>
      <w:numFmt w:val="decimal"/>
      <w:suff w:val="tab"/>
      <w:lvlText w:val="%1.%2.%3.%4.%5.%6"/>
      <w:pPr>
        <w:tabs>
          <w:tab w:val="num" w:pos="1152"/>
        </w:tabs>
        <w:spacing/>
        <w:ind w:left="1152" w:hanging="1152"/>
      </w:pPr>
      <w:rPr>
        <w:rFonts w:hint="default"/>
      </w:rPr>
    </w:lvl>
    <w:lvl w:ilvl="6">
      <w:start w:val="1"/>
      <w:numFmt w:val="decimal"/>
      <w:suff w:val="tab"/>
      <w:lvlText w:val="%1.%2.%3.%4.%5.%6.%7"/>
      <w:pPr>
        <w:tabs>
          <w:tab w:val="num" w:pos="1296"/>
        </w:tabs>
        <w:spacing/>
        <w:ind w:left="1296" w:hanging="1296"/>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584"/>
        </w:tabs>
        <w:spacing/>
        <w:ind w:left="1584" w:hanging="1584"/>
      </w:pPr>
      <w:rPr>
        <w:rFonts w:hint="default"/>
      </w:rPr>
    </w:lvl>
  </w:abstractNum>
  <w:abstractNum w:abstractNumId="12">
    <w:nsid w:val="6C7A4876"/>
    <w:lvl w:ilvl="0">
      <w:start w:val="1"/>
      <w:numFmt w:val="lowerLetter"/>
      <w:suff w:val="tab"/>
      <w:lvlText w:val="%1)"/>
      <w:pPr>
        <w:tabs>
          <w:tab w:val="num" w:pos="720"/>
        </w:tabs>
        <w:spacing/>
        <w:ind w:left="720" w:hanging="360"/>
      </w:pPr>
      <w:rPr>
        <w:rFonts w:hint="default"/>
        <w:color w:val="auto"/>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3">
    <w:nsid w:val="6D4C3AC7"/>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4">
    <w:nsid w:val="749E1C6B"/>
    <w:lvl w:ilvl="0">
      <w:start w:val="1"/>
      <w:numFmt w:val="lowerLetter"/>
      <w:pStyle w:val="TitreabRglement"/>
      <w:suff w:val="tab"/>
      <w:lvlText w:val="%1)"/>
      <w:pPr>
        <w:tabs>
          <w:tab w:val="num" w:pos="397"/>
        </w:tabs>
        <w:spacing/>
        <w:ind w:left="397" w:hanging="397"/>
      </w:pPr>
      <w:rPr>
        <w:rFonts w:hint="default"/>
        <w:strike w:val="0"/>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15">
    <w:nsid w:val="795B6780"/>
    <w:lvl w:ilvl="0">
      <w:start w:val="7"/>
      <w:numFmt w:val="bullet"/>
      <w:pStyle w:val="TitrePuceRglement"/>
      <w:suff w:val="tab"/>
      <w:lvlText w:val="-"/>
      <w:pPr>
        <w:tabs>
          <w:tab w:val="num" w:pos="397"/>
        </w:tabs>
        <w:spacing/>
        <w:ind w:left="397" w:hanging="397"/>
      </w:pPr>
      <w:rPr>
        <w:rFonts w:hint="default"/>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20"/>
  <w:proofState w:spelling="clean" w:grammar="dirty"/>
  <w:attachedTemplate r:id="rId1"/>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xmlns:w="http://schemas.openxmlformats.org/wordprocessingml/2006/main" w:val="120"/>
  <w:displayHorizontalDrawingGridEvery xmlns:w="http://schemas.openxmlformats.org/wordprocessingml/2006/main" w:val="2"/>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fr-CH"/>
  <w:clrSchemeMapping xmlns:w="http://schemas.openxmlformats.org/wordprocessingml/2006/main" w:bg1="light1" w:t1="dark1" w:bg2="light2" w:t2="dark2" w:accent1="accent1" w:accent2="accent2" w:accent3="accent3" w:accent4="accent4" w:accent5="accent5" w:accent6="accent6" w:hyperlink="hyperlink" w:followedHyperlink="followedHyperlink"/>
  <w:doNotIncludeSubdocsInStats xmlns:w="http://schemas.openxmlformats.org/wordprocessingml/2006/main"/>
  <w:smartTagType xmlns:w="http://schemas.openxmlformats.org/wordprocessingml/2006/main" w:namespaceuri="urn:schemas-microsoft-com:office:smarttags" w:name="PersonName"/>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fr-CH" w:eastAsia="fr-CH" w:bidi="ar-SA"/>
      </w:rPr>
    </w:rPrDefault>
    <w:pPrDefault>
      <w:pPr>
        <w:spacing/>
      </w:pPr>
    </w:pPrDefault>
  </w:docDefaults>
  <w:latentStyles xmlns:w="http://schemas.openxmlformats.org/wordprocessingml/2006/main"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qFormat/>
    <w:pPr>
      <w:spacing/>
    </w:pPr>
    <w:rPr>
      <w:rFonts w:ascii="Arial" w:hAnsi="Arial"/>
      <w:szCs w:val="24"/>
      <w:lang w:val="fr-FR" w:eastAsia="fr-FR"/>
    </w:rPr>
  </w:style>
  <w:style w:type="paragraph" w:styleId="Titre1">
    <w:name w:val="Heading 1"/>
    <w:basedOn w:val="Normal"/>
    <w:next w:val="Normal"/>
    <w:qFormat/>
    <w:pPr>
      <w:keepNext/>
      <w:pBdr>
        <w:bottom w:val="single" w:color="auto" w:sz="6" w:space="3"/>
      </w:pBdr>
      <w:spacing/>
      <w:outlineLvl w:val="0"/>
    </w:pPr>
    <w:rPr>
      <w:b/>
      <w:bCs/>
      <w:sz w:val="30"/>
    </w:rPr>
  </w:style>
  <w:style w:type="paragraph" w:styleId="Titre2">
    <w:name w:val="Heading 2"/>
    <w:basedOn w:val="Normal"/>
    <w:next w:val="Normal"/>
    <w:qFormat/>
    <w:pPr>
      <w:keepNext/>
      <w:spacing/>
      <w:outlineLvl w:val="1"/>
    </w:pPr>
    <w:rPr>
      <w:b/>
      <w:bCs/>
      <w:sz w:val="24"/>
    </w:rPr>
  </w:style>
  <w:style w:type="paragraph" w:styleId="Titre3">
    <w:name w:val="Heading 3"/>
    <w:basedOn w:val="Titre2"/>
    <w:next w:val="Normal"/>
    <w:qFormat/>
    <w:numPr>
      <w:ilvl w:val="2"/>
      <w:numId w:val="4"/>
    </w:numPr>
    <w:pPr>
      <w:numPr>
        <w:ilvl w:val="2"/>
        <w:numId w:val="4"/>
      </w:numPr>
      <w:spacing/>
      <w:outlineLvl w:val="2"/>
    </w:pPr>
    <w:rPr>
      <w:bCs w:val="0"/>
      <w:sz w:val="20"/>
    </w:rPr>
  </w:style>
  <w:style w:type="paragraph" w:styleId="Titre4">
    <w:name w:val="Heading 4"/>
    <w:basedOn w:val="Normal"/>
    <w:next w:val="Normal"/>
    <w:qFormat/>
    <w:numPr>
      <w:ilvl w:val="3"/>
      <w:numId w:val="4"/>
    </w:numPr>
    <w:pPr>
      <w:keepNext/>
      <w:numPr>
        <w:ilvl w:val="3"/>
        <w:numId w:val="4"/>
      </w:numPr>
      <w:spacing w:before="240" w:after="60"/>
      <w:outlineLvl w:val="3"/>
    </w:pPr>
    <w:rPr>
      <w:rFonts w:ascii="Times New Roman" w:hAnsi="Times New Roman"/>
      <w:b/>
      <w:bCs/>
      <w:sz w:val="28"/>
      <w:szCs w:val="28"/>
    </w:rPr>
  </w:style>
  <w:style w:type="paragraph" w:styleId="Titre5">
    <w:name w:val="Heading 5"/>
    <w:basedOn w:val="Normal"/>
    <w:next w:val="Normal"/>
    <w:qFormat/>
    <w:numPr>
      <w:ilvl w:val="4"/>
      <w:numId w:val="4"/>
    </w:numPr>
    <w:pPr>
      <w:numPr>
        <w:ilvl w:val="4"/>
        <w:numId w:val="4"/>
      </w:numPr>
      <w:spacing w:before="240" w:after="60"/>
      <w:outlineLvl w:val="4"/>
    </w:pPr>
    <w:rPr>
      <w:b/>
      <w:bCs/>
      <w:i/>
      <w:iCs/>
      <w:sz w:val="26"/>
      <w:szCs w:val="26"/>
    </w:rPr>
  </w:style>
  <w:style w:type="paragraph" w:styleId="Titre6">
    <w:name w:val="Heading 6"/>
    <w:basedOn w:val="Normal"/>
    <w:next w:val="Normal"/>
    <w:qFormat/>
    <w:numPr>
      <w:ilvl w:val="5"/>
      <w:numId w:val="4"/>
    </w:numPr>
    <w:pPr>
      <w:numPr>
        <w:ilvl w:val="5"/>
        <w:numId w:val="4"/>
      </w:numPr>
      <w:spacing w:before="240" w:after="60"/>
      <w:outlineLvl w:val="5"/>
    </w:pPr>
    <w:rPr>
      <w:rFonts w:ascii="Times New Roman" w:hAnsi="Times New Roman"/>
      <w:b/>
      <w:bCs/>
      <w:sz w:val="22"/>
      <w:szCs w:val="22"/>
    </w:rPr>
  </w:style>
  <w:style w:type="paragraph" w:styleId="Titre7">
    <w:name w:val="Heading 7"/>
    <w:basedOn w:val="Normal"/>
    <w:next w:val="Normal"/>
    <w:qFormat/>
    <w:numPr>
      <w:ilvl w:val="6"/>
      <w:numId w:val="4"/>
    </w:numPr>
    <w:pPr>
      <w:numPr>
        <w:ilvl w:val="6"/>
        <w:numId w:val="4"/>
      </w:numPr>
      <w:spacing w:before="240" w:after="60"/>
      <w:outlineLvl w:val="6"/>
    </w:pPr>
    <w:rPr>
      <w:rFonts w:ascii="Times New Roman" w:hAnsi="Times New Roman"/>
      <w:sz w:val="24"/>
    </w:rPr>
  </w:style>
  <w:style w:type="paragraph" w:styleId="Titre8">
    <w:name w:val="Heading 8"/>
    <w:basedOn w:val="Normal"/>
    <w:next w:val="Normal"/>
    <w:qFormat/>
    <w:numPr>
      <w:ilvl w:val="7"/>
      <w:numId w:val="4"/>
    </w:numPr>
    <w:pPr>
      <w:numPr>
        <w:ilvl w:val="7"/>
        <w:numId w:val="4"/>
      </w:numPr>
      <w:spacing w:before="240" w:after="60"/>
      <w:outlineLvl w:val="7"/>
    </w:pPr>
    <w:rPr>
      <w:rFonts w:ascii="Times New Roman" w:hAnsi="Times New Roman"/>
      <w:i/>
      <w:iCs/>
      <w:sz w:val="24"/>
    </w:rPr>
  </w:style>
  <w:style w:type="paragraph" w:styleId="Titre9">
    <w:name w:val="Heading 9"/>
    <w:basedOn w:val="Normal"/>
    <w:next w:val="Normal"/>
    <w:qFormat/>
    <w:numPr>
      <w:ilvl w:val="8"/>
      <w:numId w:val="4"/>
    </w:numPr>
    <w:pPr>
      <w:numPr>
        <w:ilvl w:val="8"/>
        <w:numId w:val="4"/>
      </w:numPr>
      <w:spacing w:before="240" w:after="60"/>
      <w:outlineLvl w:val="8"/>
    </w:pPr>
    <w:rPr>
      <w:rFonts w:cs="Arial"/>
      <w:sz w:val="22"/>
      <w:szCs w:val="22"/>
    </w:rPr>
  </w:style>
  <w:style w:type="character" w:styleId="Policepardfaut" w:default="1">
    <w:name w:val="Default Paragraph Font"/>
    <w:uiPriority w:val="1"/>
    <w:semiHidden/>
    <w:unhideWhenUsed/>
    <w:rPr/>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name w:val="No List"/>
    <w:uiPriority w:val="99"/>
    <w:semiHidden/>
    <w:unhideWhenUsed/>
  </w:style>
  <w:style w:type="paragraph" w:styleId="Corpsdetexte">
    <w:name w:val="Body Text"/>
    <w:basedOn w:val="Normal"/>
    <w:pPr>
      <w:spacing w:after="240"/>
    </w:pPr>
    <w:rPr>
      <w:rFonts w:cs="Arial"/>
      <w:sz w:val="22"/>
    </w:rPr>
  </w:style>
  <w:style w:type="paragraph" w:styleId="En-tte">
    <w:name w:val="Header"/>
    <w:basedOn w:val="Normal"/>
    <w:pPr>
      <w:tabs>
        <w:tab w:val="center" w:pos="4153"/>
        <w:tab w:val="right" w:pos="8306"/>
      </w:tabs>
      <w:spacing/>
    </w:pPr>
    <w:rPr/>
  </w:style>
  <w:style w:type="paragraph" w:styleId="Pieddepage">
    <w:name w:val="Footer"/>
    <w:basedOn w:val="Normal"/>
    <w:pPr>
      <w:tabs>
        <w:tab w:val="center" w:pos="4153"/>
        <w:tab w:val="right" w:pos="8306"/>
      </w:tabs>
      <w:spacing/>
    </w:pPr>
    <w:rPr/>
  </w:style>
  <w:style w:type="paragraph" w:styleId="Rfrence" w:customStyle="1">
    <w:name w:val="Référence"/>
    <w:basedOn w:val="Normal"/>
    <w:pPr>
      <w:widowControl w:val="false"/>
      <w:spacing w:line="260" w:lineRule="exact"/>
      <w:ind w:hanging="68"/>
    </w:pPr>
    <w:rPr>
      <w:sz w:val="22"/>
    </w:rPr>
  </w:style>
  <w:style w:type="paragraph" w:styleId="EntteHEP" w:customStyle="1">
    <w:name w:val="Entête HEP"/>
    <w:basedOn w:val="Adresseexpditeur"/>
    <w:pPr>
      <w:spacing/>
      <w:ind w:hanging="68"/>
    </w:pPr>
    <w:rPr>
      <w:b/>
      <w:sz w:val="22"/>
    </w:rPr>
  </w:style>
  <w:style w:type="paragraph" w:styleId="Adresseexpditeur" w:customStyle="1">
    <w:name w:val="envelope return"/>
    <w:basedOn w:val="Normal"/>
    <w:pPr>
      <w:spacing/>
    </w:pPr>
    <w:rPr>
      <w:rFonts w:cs="Arial"/>
      <w:szCs w:val="20"/>
    </w:rPr>
  </w:style>
  <w:style w:type="paragraph" w:styleId="Titrerglement" w:customStyle="1">
    <w:name w:val="Titre règlement"/>
    <w:basedOn w:val="Titre3"/>
    <w:numPr>
      <w:numId w:val="0"/>
    </w:numPr>
    <w:pPr>
      <w:numPr>
        <w:numId w:val="0"/>
      </w:numPr>
      <w:pBdr>
        <w:top w:val="single" w:color="auto" w:sz="8" w:space="1"/>
        <w:bottom w:val="single" w:color="auto" w:sz="8" w:space="1"/>
      </w:pBdr>
      <w:spacing/>
      <w:outlineLvl w:val="2"/>
    </w:pPr>
    <w:rPr>
      <w:caps/>
      <w:sz w:val="30"/>
    </w:rPr>
  </w:style>
  <w:style w:type="paragraph" w:styleId="Norglement" w:customStyle="1">
    <w:name w:val="No règlement"/>
    <w:basedOn w:val="Titre2"/>
    <w:pPr>
      <w:spacing/>
      <w:jc w:val="right"/>
      <w:outlineLvl w:val="1"/>
    </w:pPr>
    <w:rPr/>
  </w:style>
  <w:style w:type="paragraph" w:styleId="Titrearticle" w:customStyle="1">
    <w:name w:val="Titre article"/>
    <w:basedOn w:val="Normal"/>
    <w:next w:val="Titredescriptif"/>
    <w:pPr>
      <w:spacing w:before="120" w:after="40"/>
    </w:pPr>
    <w:rPr>
      <w:b/>
      <w:bCs/>
    </w:rPr>
  </w:style>
  <w:style w:type="paragraph" w:styleId="Titrechapitre" w:customStyle="1">
    <w:name w:val="Titre chapitre"/>
    <w:basedOn w:val="Titre1"/>
    <w:numPr>
      <w:numId w:val="12"/>
    </w:numPr>
    <w:pPr>
      <w:numPr>
        <w:numId w:val="12"/>
      </w:numPr>
      <w:spacing w:before="600" w:after="120"/>
      <w:outlineLvl w:val="0"/>
    </w:pPr>
    <w:rPr/>
  </w:style>
  <w:style w:type="paragraph" w:styleId="Titredescriptif" w:customStyle="1">
    <w:name w:val="Titre descriptif"/>
    <w:basedOn w:val="Adresseexpditeur"/>
    <w:pPr>
      <w:spacing/>
    </w:pPr>
    <w:rPr>
      <w:sz w:val="16"/>
    </w:rPr>
  </w:style>
  <w:style w:type="paragraph" w:styleId="Notedebasdepage">
    <w:name w:val="Footnote Text"/>
    <w:basedOn w:val="Normal"/>
    <w:link w:val="NotedebasdepageCar"/>
    <w:pPr>
      <w:spacing/>
    </w:pPr>
    <w:rPr>
      <w:sz w:val="16"/>
      <w:szCs w:val="20"/>
    </w:rPr>
  </w:style>
  <w:style w:type="character" w:styleId="Appelnotedebasdep">
    <w:name w:val="Footnote Reference"/>
    <w:basedOn w:val="Policepardfaut"/>
    <w:semiHidden/>
    <w:rPr>
      <w:i/>
      <w:vertAlign w:val="superscript"/>
    </w:rPr>
  </w:style>
  <w:style w:type="paragraph" w:styleId="Notedefin">
    <w:name w:val="Endnote Text"/>
    <w:basedOn w:val="Normal"/>
    <w:semiHidden/>
    <w:pPr>
      <w:spacing/>
    </w:pPr>
    <w:rPr>
      <w:szCs w:val="20"/>
    </w:rPr>
  </w:style>
  <w:style w:type="character" w:styleId="Appeldenotedefin">
    <w:name w:val="Endnote Reference"/>
    <w:basedOn w:val="Policepardfaut"/>
    <w:semiHidden/>
    <w:rPr>
      <w:vertAlign w:val="superscript"/>
    </w:rPr>
  </w:style>
  <w:style w:type="paragraph" w:styleId="Titresouschapitre" w:customStyle="1">
    <w:name w:val="Titre sous chapitre"/>
    <w:basedOn w:val="Titre2"/>
    <w:numPr>
      <w:ilvl w:val="1"/>
      <w:numId w:val="5"/>
    </w:numPr>
    <w:pPr>
      <w:numPr>
        <w:ilvl w:val="1"/>
        <w:numId w:val="5"/>
      </w:numPr>
      <w:spacing/>
      <w:outlineLvl w:val="1"/>
    </w:pPr>
    <w:rPr/>
  </w:style>
  <w:style w:type="character" w:styleId="Numrodepage">
    <w:name w:val="Page Number"/>
    <w:basedOn w:val="Policepardfaut"/>
    <w:rPr/>
  </w:style>
  <w:style w:type="paragraph" w:styleId="TitrePuceRglement" w:customStyle="1">
    <w:name w:val="TitrePuceRèglement"/>
    <w:basedOn w:val="Normal"/>
    <w:numPr>
      <w:numId w:val="16"/>
    </w:numPr>
    <w:pPr>
      <w:numPr>
        <w:numId w:val="16"/>
      </w:numPr>
      <w:spacing/>
    </w:pPr>
    <w:rPr/>
  </w:style>
  <w:style w:type="paragraph" w:styleId="TitreabRglement" w:customStyle="1">
    <w:name w:val="Titre_a)b)_Règlement"/>
    <w:basedOn w:val="TitrePuceRglement"/>
    <w:numPr>
      <w:numId w:val="15"/>
    </w:numPr>
    <w:pPr>
      <w:numPr>
        <w:numId w:val="15"/>
      </w:numPr>
      <w:spacing/>
    </w:pPr>
    <w:rPr/>
  </w:style>
  <w:style w:type="paragraph" w:styleId="Titesoussouschapitre" w:customStyle="1">
    <w:name w:val="Tite sous sous chapitre"/>
    <w:basedOn w:val="Titresouschapitre"/>
    <w:numPr>
      <w:numId w:val="3"/>
    </w:numPr>
    <w:pPr>
      <w:numPr>
        <w:numId w:val="3"/>
      </w:numPr>
      <w:spacing/>
      <w:outlineLvl w:val="1"/>
    </w:pPr>
    <w:rPr/>
  </w:style>
  <w:style w:type="paragraph" w:styleId="Titresoussouschapitre" w:customStyle="1">
    <w:name w:val="Titre sous sous chapitre"/>
    <w:basedOn w:val="Titre3"/>
    <w:numPr>
      <w:numId w:val="5"/>
    </w:numPr>
    <w:pPr>
      <w:numPr>
        <w:numId w:val="5"/>
      </w:numPr>
      <w:spacing/>
      <w:outlineLvl w:val="2"/>
    </w:pPr>
    <w:rPr/>
  </w:style>
  <w:style w:type="paragraph" w:styleId="Style" w:customStyle="1">
    <w:name w:val="Style"/>
    <w:pPr>
      <w:widowControl w:val="false"/>
      <w:autoSpaceDE w:val="false"/>
      <w:autoSpaceDN w:val="false"/>
      <w:adjustRightInd w:val="false"/>
      <w:spacing/>
    </w:pPr>
    <w:rPr>
      <w:rFonts w:ascii="Arial" w:hAnsi="Arial" w:cs="Arial"/>
      <w:sz w:val="24"/>
      <w:szCs w:val="24"/>
      <w:lang w:val="fr-FR" w:eastAsia="fr-FR"/>
    </w:rPr>
  </w:style>
  <w:style w:type="paragraph" w:styleId="Style1" w:customStyle="1">
    <w:name w:val="Style1"/>
    <w:basedOn w:val="Normal"/>
    <w:pPr>
      <w:spacing/>
    </w:pPr>
    <w:rPr>
      <w:szCs w:val="20"/>
      <w:lang w:val="fr-CH"/>
    </w:rPr>
  </w:style>
  <w:style w:type="paragraph" w:styleId="Sansinterligne" w:customStyle="1">
    <w:name w:val="No Spacing"/>
    <w:uiPriority w:val="1"/>
    <w:qFormat/>
    <w:pPr>
      <w:spacing/>
    </w:pPr>
    <w:rPr>
      <w:sz w:val="24"/>
      <w:lang w:val="fr-FR" w:eastAsia="fr-FR"/>
    </w:rPr>
  </w:style>
  <w:style w:type="paragraph" w:styleId="LettreAllinea" w:customStyle="1">
    <w:name w:val="LettreAllinea"/>
    <w:basedOn w:val="Normal"/>
    <w:qFormat/>
    <w:numPr>
      <w:numId w:val="11"/>
    </w:numPr>
    <w:pPr>
      <w:numPr>
        <w:numId w:val="11"/>
      </w:numPr>
      <w:tabs>
        <w:tab w:val="num" w:pos="360"/>
        <w:tab w:val="left" w:pos="5283"/>
      </w:tabs>
      <w:spacing w:before="120" w:after="120"/>
      <w:ind w:left="0" w:firstLine="0"/>
      <w:contextualSpacing/>
    </w:pPr>
    <w:rPr>
      <w:rFonts w:ascii="Calibri" w:hAnsi="Calibri"/>
      <w:szCs w:val="20"/>
    </w:rPr>
  </w:style>
  <w:style w:type="character" w:styleId="NotedebasdepageCar" w:customStyle="1">
    <w:name w:val="Note de bas de page Car"/>
    <w:basedOn w:val="Policepardfaut"/>
    <w:link w:val="FootnoteText"/>
    <w:rPr>
      <w:rFonts w:ascii="Arial" w:hAnsi="Arial"/>
      <w:sz w:val="16"/>
    </w:rPr>
  </w:style>
  <w:style w:type="paragraph" w:styleId="Textedebulles">
    <w:name w:val="Balloon Text"/>
    <w:basedOn w:val="Normal"/>
    <w:link w:val="TextedebullesCar"/>
    <w:pPr>
      <w:spacing/>
    </w:pPr>
    <w:rPr>
      <w:rFonts w:ascii="Segoe UI" w:hAnsi="Segoe UI" w:cs="Segoe UI"/>
      <w:sz w:val="18"/>
      <w:szCs w:val="18"/>
    </w:rPr>
  </w:style>
  <w:style w:type="character" w:styleId="TextedebullesCar" w:customStyle="1">
    <w:name w:val="Texte de bulles Car"/>
    <w:basedOn w:val="Policepardfaut"/>
    <w:link w:val="BalloonText"/>
    <w:rPr>
      <w:rFonts w:ascii="Segoe UI" w:hAnsi="Segoe UI" w:cs="Segoe UI"/>
      <w:sz w:val="18"/>
      <w:szCs w:val="18"/>
    </w:rPr>
  </w:style>
</w:styles>
</file>

<file path=word/_rels/document.xml.rels>&#65279;<?xml version="1.0" encoding="utf-8" standalone="yes"?><Relationships xmlns="http://schemas.openxmlformats.org/package/2006/relationships"><Relationship Id="rId9" Type="http://schemas.openxmlformats.org/officeDocument/2006/relationships/styles" Target="styles.xml" /><Relationship Id="rId10" Type="http://schemas.openxmlformats.org/officeDocument/2006/relationships/settings" Target="setting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footnotes" Target="footnotes.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7" Type="http://schemas.openxmlformats.org/officeDocument/2006/relationships/header" Target="header7.xml" /><Relationship Id="rId14" Type="http://schemas.openxmlformats.org/officeDocument/2006/relationships/fontTable" Target="fontTable.xml" /><Relationship Id="rId15" Type="http://schemas.openxmlformats.org/officeDocument/2006/relationships/customXml" Target="../customXml/item1.xml" /></Relationships>
</file>

<file path=word/_rels/header5.xml.rels>&#65279;<?xml version="1.0" encoding="utf-8" standalone="yes"?><Relationships xmlns="http://schemas.openxmlformats.org/package/2006/relationships"><Relationship Id="rId8"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P:/Commun/01_Ressources/Mod&#232;les/MO_R&#232;glement_V2.0.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FBDB-5F64-49C1-81AF-2B19D8BC928D}">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MO_Règlement_V2.0</Template>
  <TotalTime>1</TotalTime>
  <Pages>5</Pages>
  <Words>1067</Words>
  <Characters>5805</Characters>
  <Application>Microsoft Office Word</Application>
  <DocSecurity>0</DocSecurity>
  <Lines>48</Lines>
  <Paragraphs>13</Paragraphs>
  <Company>STI - Etat de Neuchâtel</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Rxx</dc:title>
  <dc:subject/>
  <dc:creator>HEP-BEJUNE</dc:creator>
  <cp:keywords/>
  <cp:lastModifiedBy>Vallat Marianne</cp:lastModifiedBy>
  <cp:lastPrinted>2019-07-09T07:44:00Z</cp:lastPrinted>
  <cp:revision>4</cp:revision>
  <dcterms:created xsi:type="dcterms:W3CDTF">2019-07-09T07:42:00Z</dcterms:created>
  <dcterms:modified xsi:type="dcterms:W3CDTF">2019-07-09T07:44:00Z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AddInHEPVarType" pid="2">
    <vt:lpstr>HEP</vt:lpstr>
  </property>
  <property fmtid="{D5CDD505-2E9C-101B-9397-08002B2CF9AE}" name="QMP-Changedate" pid="3">
    <vt:lpstr>27/05/2020</vt:lpstr>
  </property>
  <property fmtid="{D5CDD505-2E9C-101B-9397-08002B2CF9AE}" name="QMP-ChangeUser" pid="4">
    <vt:lpstr>Vallat Marianne</vt:lpstr>
  </property>
  <property fmtid="{D5CDD505-2E9C-101B-9397-08002B2CF9AE}" name="QMP-CreateUser" pid="5">
    <vt:lpstr>Vallat Marianne</vt:lpstr>
  </property>
  <property fmtid="{D5CDD505-2E9C-101B-9397-08002B2CF9AE}" name="QMP-CreateDate" pid="6">
    <vt:lpstr>09/07/2019</vt:lpstr>
  </property>
  <property fmtid="{D5CDD505-2E9C-101B-9397-08002B2CF9AE}" name="QMP-Checker" pid="7">
    <vt:lpstr>Vallat Marianne</vt:lpstr>
  </property>
  <property fmtid="{D5CDD505-2E9C-101B-9397-08002B2CF9AE}" name="QMP-CheckDate" pid="8">
    <vt:lpstr>09/07/2019</vt:lpstr>
  </property>
  <property fmtid="{D5CDD505-2E9C-101B-9397-08002B2CF9AE}" name="QMP-Checkout" pid="9">
    <vt:lpstr>N</vt:lpstr>
  </property>
  <property fmtid="{D5CDD505-2E9C-101B-9397-08002B2CF9AE}" name="Createdate" pid="10">
    <vt:lpstr>09/07/2019</vt:lpstr>
  </property>
  <property fmtid="{D5CDD505-2E9C-101B-9397-08002B2CF9AE}" name="QMP-Label" pid="11">
    <vt:lpstr>R.16.8.5_Reglement concernant la formation complementaire pour lobtention dun certificat detudes avancees (CAS) pour animateur de groupe danalyse des pratiques professionnelles (AGAPP)</vt:lpstr>
  </property>
  <property fmtid="{D5CDD505-2E9C-101B-9397-08002B2CF9AE}" name="QMP-Nr" pid="12">
    <vt:lpstr>P1.2.2-2584</vt:lpstr>
  </property>
  <property fmtid="{D5CDD505-2E9C-101B-9397-08002B2CF9AE}" name="QMP-Owner" pid="13">
    <vt:lpstr>Vallat Marianne</vt:lpstr>
  </property>
  <property fmtid="{D5CDD505-2E9C-101B-9397-08002B2CF9AE}" name="QMP-Releaser" pid="14">
    <vt:lpstr>Vallat Marianne</vt:lpstr>
  </property>
  <property fmtid="{D5CDD505-2E9C-101B-9397-08002B2CF9AE}" name="QMP-ReleaseDate" pid="15">
    <vt:lpstr>09/07/2019</vt:lpstr>
  </property>
  <property fmtid="{D5CDD505-2E9C-101B-9397-08002B2CF9AE}" name="QMP-Statetext" pid="16">
    <vt:lpstr>Archiviert</vt:lpstr>
  </property>
  <property fmtid="{D5CDD505-2E9C-101B-9397-08002B2CF9AE}" name="QMP-Type" pid="17">
    <vt:lpstr/>
  </property>
  <property fmtid="{D5CDD505-2E9C-101B-9397-08002B2CF9AE}" name="QMP-ValidFrom" pid="18">
    <vt:lpstr>09/07/2019</vt:lpstr>
  </property>
  <property fmtid="{D5CDD505-2E9C-101B-9397-08002B2CF9AE}" name="QMP-Version" pid="19">
    <vt:lpstr>1.0</vt:lpstr>
  </property>
  <property fmtid="{D5CDD505-2E9C-101B-9397-08002B2CF9AE}" name="QMP-ValidTo" pid="20">
    <vt:lpstr/>
  </property>
</Properties>
</file>