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PTitredocument"/>
        <w:spacing/>
        <w:rPr/>
      </w:pPr>
      <w:r>
        <w:rPr/>
        <w:t xml:space="preserve">Admission du dossier</w:t>
      </w:r>
    </w:p>
    <w:p>
      <w:pPr>
        <w:pStyle w:val="HEPHirarchie2"/>
        <w:spacing/>
        <w:rPr/>
      </w:pPr>
      <w:r>
        <w:rPr/>
        <w:t xml:space="preserve">Récapitulatif du volume de travail</w:t>
      </w:r>
    </w:p>
    <w:tbl>
      <w:tblPr>
        <w:tblStyle w:val="Grilledutableau"/>
        <w:tblW w:w="14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2552"/>
        <w:gridCol w:w="2126"/>
        <w:gridCol w:w="1701"/>
        <w:gridCol w:w="1843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3510"/>
            <w:tcBorders/>
          </w:tcPr>
          <w:p>
            <w:pPr>
              <w:spacing/>
              <w:rPr>
                <w:b w:val="0"/>
              </w:rPr>
            </w:pPr>
            <w:r>
              <w:rPr/>
              <w:t xml:space="preserve">Nom de l’entreprise</w:t>
            </w:r>
          </w:p>
        </w:tc>
        <w:tc>
          <w:tcPr>
            <w:tcW w:type="dxa" w:w="2552"/>
            <w:tcBorders/>
          </w:tcPr>
          <w:p>
            <w:pPr>
              <w:spacing/>
              <w:rPr>
                <w:b w:val="0"/>
              </w:rPr>
            </w:pPr>
            <w:r>
              <w:rPr/>
              <w:t xml:space="preserve">Poste occupé</w:t>
            </w:r>
          </w:p>
        </w:tc>
        <w:tc>
          <w:tcPr>
            <w:tcW w:type="dxa" w:w="2126"/>
            <w:tcBorders/>
          </w:tcPr>
          <w:p>
            <w:pPr>
              <w:spacing/>
              <w:rPr>
                <w:b w:val="0"/>
              </w:rPr>
            </w:pPr>
            <w:r>
              <w:rPr/>
              <w:t xml:space="preserve">Dates d’engagement et fin de travail</w:t>
            </w:r>
          </w:p>
        </w:tc>
        <w:tc>
          <w:tcPr>
            <w:tcW w:type="dxa" w:w="1701"/>
            <w:tcBorders/>
          </w:tcPr>
          <w:p>
            <w:pPr>
              <w:spacing/>
              <w:rPr>
                <w:b w:val="0"/>
              </w:rPr>
            </w:pPr>
            <w:r>
              <w:rPr/>
              <w:t xml:space="preserve">Nombre de mois</w:t>
            </w:r>
          </w:p>
        </w:tc>
        <w:tc>
          <w:tcPr>
            <w:tcW w:type="dxa" w:w="1843"/>
            <w:tcBorders/>
          </w:tcPr>
          <w:p>
            <w:pPr>
              <w:spacing/>
              <w:rPr>
                <w:b w:val="0"/>
              </w:rPr>
            </w:pPr>
            <w:r>
              <w:rPr/>
              <w:t xml:space="preserve">% moyen de travail auquel vous avez été engagez</w:t>
            </w:r>
          </w:p>
        </w:tc>
        <w:tc>
          <w:tcPr>
            <w:tcW w:type="dxa" w:w="2297"/>
            <w:tcBorders/>
          </w:tcPr>
          <w:p>
            <w:pPr>
              <w:spacing/>
              <w:rPr/>
            </w:pPr>
            <w:r>
              <w:rPr/>
              <w:t xml:space="preserve">Équivalent 100%</w:t>
            </w:r>
            <w:r>
              <w:rPr/>
              <w:br/>
            </w:r>
            <w:r>
              <w:rPr/>
              <w:t xml:space="preserve">(exemple si vous avez travaillé 12 mois à 50%, l’équivalent à 100% = 6 mois)</w:t>
            </w: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10"/>
            <w:tcBorders/>
          </w:tcPr>
          <w:p>
            <w:pPr>
              <w:spacing/>
              <w:rPr/>
            </w:pPr>
          </w:p>
        </w:tc>
        <w:tc>
          <w:tcPr>
            <w:tcW w:type="dxa" w:w="2552"/>
            <w:tcBorders/>
          </w:tcPr>
          <w:p>
            <w:pPr>
              <w:spacing/>
              <w:rPr/>
            </w:pPr>
          </w:p>
        </w:tc>
        <w:tc>
          <w:tcPr>
            <w:tcW w:type="dxa" w:w="2126"/>
            <w:tcBorders/>
          </w:tcPr>
          <w:p>
            <w:pPr>
              <w:spacing/>
              <w:rPr/>
            </w:pPr>
          </w:p>
        </w:tc>
        <w:tc>
          <w:tcPr>
            <w:tcW w:type="dxa" w:w="1701"/>
            <w:tcBorders/>
          </w:tcPr>
          <w:p>
            <w:pPr>
              <w:spacing/>
              <w:rPr/>
            </w:pPr>
          </w:p>
        </w:tc>
        <w:tc>
          <w:tcPr>
            <w:tcW w:type="dxa" w:w="1843"/>
            <w:tcBorders/>
          </w:tcPr>
          <w:p>
            <w:pPr>
              <w:spacing/>
              <w:rPr/>
            </w:pPr>
          </w:p>
        </w:tc>
        <w:tc>
          <w:tcPr>
            <w:tcW w:type="dxa" w:w="2297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  <w:bookmarkStart w:id="2" w:name="_GoBack"/>
      <w:bookmarkEnd w:id="2"/>
    </w:p>
    <w:sectPr>
      <w:headerReference w:type="first" r:id="rId1"/>
      <w:footerReference w:type="first" r:id="rId2"/>
      <w:footerReference w:type="default" r:id="rId3"/>
      <w:type w:val="continuous"/>
      <w:pgSz w:w="16838" w:h="11906" w:orient="landscape"/>
      <w:pgMar w:top="1417" w:right="1134" w:bottom="1701" w:left="1701" w:header="1134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jc w:val="left"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1" name="Image 4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t xml:space="preserve">                                                                                                         1/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ab/>
      <w:t xml:space="preserve"/>
    </w:r>
    <w:r>
      <w:rPr/>
      <w:tab/>
      <w:t xml:space="preserve"/>
    </w:r>
    <w:r>
      <w:rPr/>
      <w:tab/>
      <w:t xml:space="preserve"/>
    </w:r>
    <w:r>
      <w:rPr/>
      <w:tab/>
      <w:t xml:space="preserve"/>
    </w:r>
    <w:r>
      <w:rPr/>
      <w:tab/>
      <w:t xml:space="preserve"/>
    </w:r>
    <w:r>
      <w:rPr/>
      <w:tab/>
      <w:t xml:space="preserve"/>
    </w:r>
    <w:r>
      <w:rPr/>
      <w:t xml:space="preserve">   P2.2.3-2636 / 21.04.2022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3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ab/>
      <w:t xml:space="preserve"/>
    </w:r>
    <w:r>
      <w:rPr/>
      <w:t xml:space="preserve">P2.2.3-2636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571"/>
          <wp:effectExtent xmlns:wp="http://schemas.openxmlformats.org/drawingml/2006/wordprocessingDrawing" l="0" t="0" r="0" b="0"/>
          <wp:docPr id="2" name="Imag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8B2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1C9D7AA1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E2FE2A2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3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4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5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6">
    <w:nsid w:val="314C42B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7">
    <w:nsid w:val="37B48A6B"/>
    <w:lvl w:ilvl="0">
      <w:start w:val="1"/>
      <w:numFmt w:val="decimal"/>
      <w:suff w:val="tab"/>
      <w:lvlText w:val="%1."/>
      <w:pPr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0" w:firstLine="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0" w:firstLine="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0" w:firstLine="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0" w:firstLine="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0" w:firstLine="0"/>
      </w:pPr>
      <w:rPr>
        <w:rFonts w:hint="default"/>
      </w:rPr>
    </w:lvl>
  </w:abstractNum>
  <w:abstractNum w:abstractNumId="8">
    <w:nsid w:val="40B123D8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9">
    <w:nsid w:val="451DD123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0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1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2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13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14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15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6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7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dirty"/>
  <w:attachedTemplate r:id="rId1"/>
  <w:stylePaneFormatFilter xmlns:w="http://schemas.openxmlformats.org/wordprocessingml/2006/main"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paragraph" w:styleId="Retraitcorpsdetexte">
    <w:name w:val="Body Text Indent"/>
    <w:basedOn w:val="Normal"/>
    <w:semiHidden/>
    <w:pPr>
      <w:spacing/>
      <w:ind w:left="434" w:hanging="434"/>
    </w:pPr>
    <w:rPr/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character" w:styleId="En-tteCar" w:customStyle="1">
    <w:name w:val="En-tête Car"/>
    <w:basedOn w:val="Policepardfaut"/>
    <w:link w:val="Header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paragraph" w:styleId="Date">
    <w:name w:val="Date"/>
    <w:basedOn w:val="Normal"/>
    <w:pPr>
      <w:widowControl w:val="false"/>
      <w:spacing/>
    </w:pPr>
    <w:rPr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En-tte">
    <w:name w:val="Header"/>
    <w:basedOn w:val="Normal"/>
    <w:link w:val="En-têteCar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Textedebulles">
    <w:name w:val="Balloon Text"/>
    <w:basedOn w:val="Normal"/>
    <w:link w:val="TextedebullesCar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BalloonText"/>
    <w:semiHidden/>
    <w:rPr>
      <w:rFonts w:ascii="Tahoma" w:hAnsi="Tahoma" w:eastAsia="Tahoma" w:cs="Tahoma"/>
      <w:sz w:val="16"/>
      <w:szCs w:val="16"/>
      <w:lang w:val="fr-FR" w:eastAsia="fr-FR"/>
    </w:rPr>
  </w:style>
  <w:style w:type="character" w:styleId="Numrodepage">
    <w:name w:val="Page Number"/>
    <w:basedOn w:val="Policepardfaut"/>
    <w:uiPriority w:val="99"/>
    <w:unhideWhenUsed/>
    <w:rPr/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Adresseexpditeur" w:customStyle="1">
    <w:name w:val="envelope return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paragraph" w:styleId="HEPHirarchie1" w:customStyle="1">
    <w:name w:val="HEP Hiérarchie 1"/>
    <w:basedOn w:val="HEPTitredocument"/>
    <w:next w:val="Normal"/>
    <w:qFormat/>
    <w:numPr>
      <w:numId w:val="16"/>
    </w:numPr>
    <w:pPr>
      <w:numPr>
        <w:numId w:val="16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paragraph" w:styleId="Paragraphedeliste">
    <w:name w:val="List Paragraph"/>
    <w:basedOn w:val="Normal"/>
    <w:semiHidden/>
    <w:qFormat/>
    <w:pPr>
      <w:spacing/>
      <w:ind w:left="720"/>
      <w:contextualSpacing/>
    </w:pPr>
    <w:rPr/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HEPHirarchie3" w:customStyle="1">
    <w:name w:val="HEP Hiérarchie 3"/>
    <w:next w:val="Normal"/>
    <w:qFormat/>
    <w:numPr>
      <w:ilvl w:val="2"/>
      <w:numId w:val="16"/>
    </w:numPr>
    <w:pPr>
      <w:numPr>
        <w:ilvl w:val="2"/>
        <w:numId w:val="16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pPr>
      <w:spacing/>
    </w:pPr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paragraph" w:styleId="HEPListe" w:customStyle="1">
    <w:name w:val="HEP Liste"/>
    <w:basedOn w:val="Normal"/>
    <w:link w:val="HEPListeCar"/>
    <w:qFormat/>
    <w:numPr>
      <w:numId w:val="4"/>
    </w:numPr>
    <w:pPr>
      <w:numPr>
        <w:numId w:val="4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14"/>
    </w:numPr>
    <w:pPr>
      <w:numPr>
        <w:numId w:val="14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paragraph" w:styleId="HEPPuce" w:customStyle="1">
    <w:name w:val="HEP Puce"/>
    <w:basedOn w:val="Normal"/>
    <w:qFormat/>
    <w:numPr>
      <w:numId w:val="13"/>
    </w:numPr>
    <w:pPr>
      <w:numPr>
        <w:numId w:val="13"/>
      </w:numPr>
      <w:spacing/>
      <w:ind w:left="340" w:hanging="340"/>
      <w:contextualSpacing/>
    </w:pPr>
    <w:rPr/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3" Type="http://schemas.openxmlformats.org/officeDocument/2006/relationships/footer" Target="footer3.xml" /><Relationship Id="rId11" Type="http://schemas.openxmlformats.org/officeDocument/2006/relationships/fontTable" Target="fontTable.xml" /><Relationship Id="rId12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abrina.henriques/OfficeTemplates/HEP-BEJUNE/MO_Neutre_Paysage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85E3-A5D2-44E2-ACBF-B1126462B8E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MO_Neutre_Paysage</Template>
  <TotalTime>3</TotalTime>
  <Pages>1</Pages>
  <Words>51</Words>
  <Characters>282</Characters>
  <Application>Microsoft Office Word</Application>
  <DocSecurity>0</DocSecurity>
  <Lines>2</Lines>
  <Paragraphs>1</Paragraphs>
  <Company>HEP-BEJUNE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externe</dc:title>
  <dc:subject/>
  <dc:creator>Windows User</dc:creator>
  <cp:lastModifiedBy>Livi Christian</cp:lastModifiedBy>
  <cp:lastPrinted>2017-10-18T05:59:00Z</cp:lastPrinted>
  <cp:revision>5</cp:revision>
  <dcterms:created xsi:type="dcterms:W3CDTF">2022-04-21T12:11:00Z</dcterms:created>
  <dcterms:modified xsi:type="dcterms:W3CDTF">2022-04-21T12:17:00Z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QMP-Changedate" pid="2">
    <vt:lpstr>22/04/2022</vt:lpstr>
  </property>
  <property fmtid="{D5CDD505-2E9C-101B-9397-08002B2CF9AE}" name="QMP-ChangeUser" pid="3">
    <vt:lpwstr>Riat François</vt:lpwstr>
  </property>
  <property fmtid="{D5CDD505-2E9C-101B-9397-08002B2CF9AE}" name="QMP-CreateUser" pid="4">
    <vt:lpstr>Livi Christian</vt:lpstr>
  </property>
  <property fmtid="{D5CDD505-2E9C-101B-9397-08002B2CF9AE}" name="QMP-CreateDate" pid="5">
    <vt:lpstr>21/04/2022</vt:lpstr>
  </property>
  <property fmtid="{D5CDD505-2E9C-101B-9397-08002B2CF9AE}" name="QMP-Checker" pid="6">
    <vt:lpstr>Livi Christian</vt:lpstr>
  </property>
  <property fmtid="{D5CDD505-2E9C-101B-9397-08002B2CF9AE}" name="QMP-CheckDate" pid="7">
    <vt:lpstr>21/04/2022</vt:lpstr>
  </property>
  <property fmtid="{D5CDD505-2E9C-101B-9397-08002B2CF9AE}" name="QMP-Checkout" pid="8">
    <vt:lpstr>N</vt:lpstr>
  </property>
  <property fmtid="{D5CDD505-2E9C-101B-9397-08002B2CF9AE}" name="Createdate" pid="9">
    <vt:lpstr>21/04/2022</vt:lpstr>
  </property>
  <property fmtid="{D5CDD505-2E9C-101B-9397-08002B2CF9AE}" name="QMP-Label" pid="10">
    <vt:lpwstr>IT_Admission sur dossier - Canevas expérience professionnelle</vt:lpwstr>
  </property>
  <property fmtid="{D5CDD505-2E9C-101B-9397-08002B2CF9AE}" name="QMP-Nr" pid="11">
    <vt:lpstr>P2.2.3-2636</vt:lpstr>
  </property>
  <property fmtid="{D5CDD505-2E9C-101B-9397-08002B2CF9AE}" name="QMP-Owner" pid="12">
    <vt:lpstr>Livi Christian</vt:lpstr>
  </property>
  <property fmtid="{D5CDD505-2E9C-101B-9397-08002B2CF9AE}" name="QMP-Releaser" pid="13">
    <vt:lpwstr>Riat François</vt:lpwstr>
  </property>
  <property fmtid="{D5CDD505-2E9C-101B-9397-08002B2CF9AE}" name="QMP-ReleaseDate" pid="14">
    <vt:lpstr>22/04/2022</vt:lpstr>
  </property>
  <property fmtid="{D5CDD505-2E9C-101B-9397-08002B2CF9AE}" name="QMP-Statetext" pid="15">
    <vt:lpstr>Freigegeben</vt:lpstr>
  </property>
  <property fmtid="{D5CDD505-2E9C-101B-9397-08002B2CF9AE}" name="QMP-Type" pid="16">
    <vt:lpwstr>4_Formulaire / modèle (FM)</vt:lpwstr>
  </property>
  <property fmtid="{D5CDD505-2E9C-101B-9397-08002B2CF9AE}" name="QMP-ValidFrom" pid="17">
    <vt:lpstr>22/04/2022</vt:lpstr>
  </property>
  <property fmtid="{D5CDD505-2E9C-101B-9397-08002B2CF9AE}" name="QMP-Version" pid="18">
    <vt:lpstr>1.4</vt:lpstr>
  </property>
  <property fmtid="{D5CDD505-2E9C-101B-9397-08002B2CF9AE}" name="QMP-ValidTo" pid="19">
    <vt:lpstr/>
  </property>
</Properties>
</file>